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pPr w:leftFromText="180" w:rightFromText="180" w:vertAnchor="text" w:horzAnchor="margin" w:tblpY="-159"/>
        <w:bidiVisual/>
        <w:tblW w:w="8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2"/>
        <w:gridCol w:w="2630"/>
        <w:gridCol w:w="1769"/>
        <w:gridCol w:w="3679"/>
      </w:tblGrid>
      <w:tr w:rsidR="008F3A58" w:rsidRPr="00420E12" w:rsidTr="008F3A58">
        <w:trPr>
          <w:trHeight w:val="295"/>
        </w:trPr>
        <w:tc>
          <w:tcPr>
            <w:tcW w:w="5079" w:type="dxa"/>
            <w:gridSpan w:val="3"/>
          </w:tcPr>
          <w:p w:rsidR="008F3A58" w:rsidRPr="00420E12" w:rsidRDefault="008F3A58" w:rsidP="008F3A58">
            <w:pPr>
              <w:jc w:val="both"/>
              <w:rPr>
                <w:rFonts w:ascii="Arial" w:hAnsi="Arial"/>
                <w:b/>
                <w:bCs/>
                <w:sz w:val="26"/>
                <w:szCs w:val="26"/>
                <w:rtl/>
              </w:rPr>
            </w:pPr>
          </w:p>
          <w:p w:rsidR="008F3A58" w:rsidRPr="00420E12" w:rsidRDefault="008F3A58" w:rsidP="008F3A58">
            <w:pPr>
              <w:ind w:firstLine="720"/>
              <w:rPr>
                <w:rFonts w:ascii="Arial" w:hAnsi="Arial"/>
                <w:sz w:val="26"/>
                <w:szCs w:val="26"/>
                <w:rtl/>
              </w:rPr>
            </w:pPr>
          </w:p>
        </w:tc>
        <w:tc>
          <w:tcPr>
            <w:tcW w:w="3741" w:type="dxa"/>
          </w:tcPr>
          <w:p w:rsidR="007B43A7" w:rsidRDefault="007B43A7">
            <w:pPr>
              <w:rPr>
                <w:rFonts w:ascii="Arial" w:hAnsi="Arial"/>
                <w:b/>
                <w:bCs/>
                <w:sz w:val="26"/>
                <w:szCs w:val="26"/>
              </w:rPr>
            </w:pPr>
          </w:p>
          <w:p w:rsidR="008F3A58" w:rsidRPr="00420E12" w:rsidRDefault="008F3A58" w:rsidP="008F3A58">
            <w:pPr>
              <w:jc w:val="both"/>
              <w:rPr>
                <w:rFonts w:ascii="Arial" w:hAnsi="Arial"/>
                <w:b/>
                <w:bCs/>
                <w:sz w:val="26"/>
                <w:szCs w:val="26"/>
                <w:rtl/>
              </w:rPr>
            </w:pPr>
          </w:p>
        </w:tc>
      </w:tr>
      <w:tr w:rsidR="008450E5" w:rsidRPr="00420E12" w:rsidTr="008F3A58">
        <w:trPr>
          <w:trHeight w:val="295"/>
        </w:trPr>
        <w:tc>
          <w:tcPr>
            <w:tcW w:w="635" w:type="dxa"/>
          </w:tcPr>
          <w:p w:rsidR="008450E5" w:rsidRPr="00780CA3" w:rsidRDefault="008450E5" w:rsidP="008450E5">
            <w:pPr>
              <w:jc w:val="both"/>
              <w:rPr>
                <w:rFonts w:ascii="Arial" w:hAnsi="Arial"/>
                <w:b/>
                <w:bCs/>
                <w:sz w:val="26"/>
                <w:szCs w:val="26"/>
              </w:rPr>
            </w:pPr>
            <w:r>
              <w:rPr>
                <w:rFonts w:ascii="Arial" w:hAnsi="Arial" w:hint="cs"/>
                <w:b/>
                <w:bCs/>
                <w:sz w:val="26"/>
                <w:szCs w:val="26"/>
                <w:rtl/>
              </w:rPr>
              <w:t>ב</w:t>
            </w:r>
            <w:r w:rsidRPr="00780CA3">
              <w:rPr>
                <w:rFonts w:ascii="Arial" w:hAnsi="Arial"/>
                <w:b/>
                <w:bCs/>
                <w:sz w:val="26"/>
                <w:szCs w:val="26"/>
                <w:rtl/>
              </w:rPr>
              <w:t>פני</w:t>
            </w:r>
            <w:r>
              <w:rPr>
                <w:rFonts w:ascii="Arial" w:hAnsi="Arial" w:hint="cs"/>
                <w:b/>
                <w:bCs/>
                <w:sz w:val="26"/>
                <w:szCs w:val="26"/>
                <w:rtl/>
              </w:rPr>
              <w:t xml:space="preserve">: </w:t>
            </w:r>
          </w:p>
        </w:tc>
        <w:tc>
          <w:tcPr>
            <w:tcW w:w="8185" w:type="dxa"/>
            <w:gridSpan w:val="3"/>
          </w:tcPr>
          <w:p w:rsidR="008450E5" w:rsidRDefault="008450E5" w:rsidP="008450E5">
            <w:pPr>
              <w:rPr>
                <w:rFonts w:ascii="Arial" w:hAnsi="Arial"/>
                <w:b/>
                <w:bCs/>
                <w:sz w:val="26"/>
                <w:szCs w:val="26"/>
                <w:rtl/>
              </w:rPr>
            </w:pPr>
            <w:r>
              <w:rPr>
                <w:rFonts w:ascii="Arial" w:hAnsi="Arial" w:hint="cs"/>
                <w:b/>
                <w:bCs/>
                <w:sz w:val="26"/>
                <w:szCs w:val="26"/>
                <w:rtl/>
              </w:rPr>
              <w:t>ועדת ערר לפי חוק מיסוי מקרקעין (שבח ורכישה ), התשכ"ג-1963</w:t>
            </w:r>
          </w:p>
          <w:p w:rsidR="008450E5" w:rsidRPr="00780CA3" w:rsidRDefault="008450E5" w:rsidP="008450E5">
            <w:pPr>
              <w:rPr>
                <w:rFonts w:ascii="Arial" w:hAnsi="Arial"/>
                <w:b/>
                <w:bCs/>
                <w:sz w:val="26"/>
                <w:szCs w:val="26"/>
                <w:rtl/>
              </w:rPr>
            </w:pPr>
            <w:r w:rsidRPr="00780CA3">
              <w:rPr>
                <w:rFonts w:ascii="Arial" w:hAnsi="Arial" w:hint="cs"/>
                <w:b/>
                <w:bCs/>
                <w:sz w:val="26"/>
                <w:szCs w:val="26"/>
                <w:rtl/>
              </w:rPr>
              <w:t>כב' ה</w:t>
            </w:r>
            <w:sdt>
              <w:sdtPr>
                <w:rPr>
                  <w:sz w:val="26"/>
                  <w:szCs w:val="26"/>
                  <w:rtl/>
                </w:rPr>
                <w:alias w:val="1574"/>
                <w:tag w:val="1574"/>
                <w:id w:val="-2130922988"/>
                <w:text w:multiLine="1"/>
              </w:sdtPr>
              <w:sdtEndPr/>
              <w:sdtContent>
                <w:r>
                  <w:rPr>
                    <w:rFonts w:ascii="Arial" w:hAnsi="Arial"/>
                    <w:b/>
                    <w:bCs/>
                    <w:sz w:val="26"/>
                    <w:szCs w:val="26"/>
                    <w:rtl/>
                  </w:rPr>
                  <w:t>שופטת</w:t>
                </w:r>
              </w:sdtContent>
            </w:sdt>
            <w:r w:rsidRPr="00780CA3">
              <w:rPr>
                <w:rFonts w:ascii="Arial" w:hAnsi="Arial" w:hint="cs"/>
                <w:b/>
                <w:bCs/>
                <w:sz w:val="26"/>
                <w:szCs w:val="26"/>
                <w:rtl/>
              </w:rPr>
              <w:t xml:space="preserve">  </w:t>
            </w:r>
            <w:sdt>
              <w:sdtPr>
                <w:rPr>
                  <w:b/>
                  <w:bCs/>
                  <w:sz w:val="26"/>
                  <w:szCs w:val="26"/>
                  <w:rtl/>
                </w:rPr>
                <w:alias w:val="1573"/>
                <w:tag w:val="1573"/>
                <w:id w:val="194891666"/>
                <w:text w:multiLine="1"/>
              </w:sdtPr>
              <w:sdtEndPr/>
              <w:sdtContent>
                <w:r w:rsidRPr="00D7199B">
                  <w:rPr>
                    <w:rFonts w:ascii="Arial" w:hAnsi="Arial"/>
                    <w:b/>
                    <w:bCs/>
                    <w:sz w:val="26"/>
                    <w:szCs w:val="26"/>
                    <w:rtl/>
                  </w:rPr>
                  <w:t>ירדנה סרוסי</w:t>
                </w:r>
                <w:r w:rsidRPr="00D7199B">
                  <w:rPr>
                    <w:rFonts w:ascii="Arial" w:hAnsi="Arial" w:hint="cs"/>
                    <w:b/>
                    <w:bCs/>
                    <w:sz w:val="26"/>
                    <w:szCs w:val="26"/>
                    <w:rtl/>
                  </w:rPr>
                  <w:t>, יו"ר הוועדה</w:t>
                </w:r>
                <w:r w:rsidRPr="00D7199B">
                  <w:rPr>
                    <w:rFonts w:ascii="Arial" w:hAnsi="Arial"/>
                    <w:b/>
                    <w:bCs/>
                    <w:sz w:val="26"/>
                    <w:szCs w:val="26"/>
                    <w:rtl/>
                  </w:rPr>
                  <w:br/>
                </w:r>
                <w:r w:rsidRPr="00D7199B">
                  <w:rPr>
                    <w:rFonts w:hint="cs"/>
                    <w:b/>
                    <w:bCs/>
                    <w:sz w:val="26"/>
                    <w:szCs w:val="26"/>
                    <w:rtl/>
                  </w:rPr>
                  <w:t>רו"ח צבי פרידמן, חבר הו</w:t>
                </w:r>
                <w:r>
                  <w:rPr>
                    <w:rFonts w:hint="cs"/>
                    <w:b/>
                    <w:bCs/>
                    <w:sz w:val="26"/>
                    <w:szCs w:val="26"/>
                    <w:rtl/>
                  </w:rPr>
                  <w:t>ו</w:t>
                </w:r>
                <w:r w:rsidRPr="00D7199B">
                  <w:rPr>
                    <w:rFonts w:hint="cs"/>
                    <w:b/>
                    <w:bCs/>
                    <w:sz w:val="26"/>
                    <w:szCs w:val="26"/>
                    <w:rtl/>
                  </w:rPr>
                  <w:t>עדה</w:t>
                </w:r>
                <w:r w:rsidRPr="00D7199B">
                  <w:rPr>
                    <w:b/>
                    <w:bCs/>
                    <w:sz w:val="26"/>
                    <w:szCs w:val="26"/>
                    <w:rtl/>
                  </w:rPr>
                  <w:br/>
                </w:r>
                <w:r>
                  <w:rPr>
                    <w:rFonts w:hint="cs"/>
                    <w:b/>
                    <w:bCs/>
                    <w:sz w:val="26"/>
                    <w:szCs w:val="26"/>
                    <w:rtl/>
                  </w:rPr>
                  <w:t xml:space="preserve">רו"ח יהושע ביליצקי, </w:t>
                </w:r>
                <w:r w:rsidRPr="00D7199B">
                  <w:rPr>
                    <w:rFonts w:hint="cs"/>
                    <w:b/>
                    <w:bCs/>
                    <w:sz w:val="26"/>
                    <w:szCs w:val="26"/>
                    <w:rtl/>
                  </w:rPr>
                  <w:t>חבר הוועדה</w:t>
                </w:r>
                <w:r w:rsidR="00E9196F">
                  <w:rPr>
                    <w:b/>
                    <w:bCs/>
                    <w:sz w:val="26"/>
                    <w:szCs w:val="26"/>
                    <w:rtl/>
                  </w:rPr>
                  <w:br/>
                </w:r>
              </w:sdtContent>
            </w:sdt>
          </w:p>
          <w:p w:rsidR="008450E5" w:rsidRPr="00780CA3" w:rsidRDefault="008450E5" w:rsidP="008450E5">
            <w:pPr>
              <w:rPr>
                <w:rFonts w:ascii="Arial" w:hAnsi="Arial" w:cs="FrankRuehl"/>
                <w:sz w:val="26"/>
                <w:szCs w:val="26"/>
                <w:highlight w:val="yellow"/>
              </w:rPr>
            </w:pPr>
          </w:p>
        </w:tc>
      </w:tr>
      <w:tr w:rsidR="008450E5" w:rsidRPr="00420E12" w:rsidTr="008F3A58">
        <w:tc>
          <w:tcPr>
            <w:tcW w:w="3281" w:type="dxa"/>
            <w:gridSpan w:val="2"/>
          </w:tcPr>
          <w:sdt>
            <w:sdtPr>
              <w:rPr>
                <w:sz w:val="26"/>
                <w:szCs w:val="26"/>
                <w:rtl/>
              </w:rPr>
              <w:alias w:val="1180"/>
              <w:tag w:val="1180"/>
              <w:id w:val="1169446867"/>
              <w:text w:multiLine="1"/>
            </w:sdtPr>
            <w:sdtEndPr/>
            <w:sdtContent>
              <w:p w:rsidR="008450E5" w:rsidRDefault="008450E5" w:rsidP="008450E5">
                <w:pPr>
                  <w:rPr>
                    <w:rFonts w:ascii="Arial" w:hAnsi="Arial"/>
                    <w:b/>
                    <w:bCs/>
                    <w:sz w:val="26"/>
                    <w:szCs w:val="26"/>
                  </w:rPr>
                </w:pPr>
                <w:r>
                  <w:rPr>
                    <w:rFonts w:ascii="Arial" w:hAnsi="Arial"/>
                    <w:b/>
                    <w:bCs/>
                    <w:sz w:val="26"/>
                    <w:szCs w:val="26"/>
                    <w:rtl/>
                  </w:rPr>
                  <w:t>עורר</w:t>
                </w:r>
              </w:p>
            </w:sdtContent>
          </w:sdt>
          <w:p w:rsidR="008450E5" w:rsidRPr="008450E5" w:rsidRDefault="008450E5" w:rsidP="008450E5">
            <w:pPr>
              <w:tabs>
                <w:tab w:val="left" w:pos="2416"/>
              </w:tabs>
              <w:rPr>
                <w:rFonts w:ascii="Arial" w:hAnsi="Arial"/>
                <w:sz w:val="26"/>
                <w:szCs w:val="26"/>
              </w:rPr>
            </w:pPr>
            <w:r>
              <w:rPr>
                <w:rFonts w:ascii="Arial" w:hAnsi="Arial"/>
                <w:sz w:val="26"/>
                <w:szCs w:val="26"/>
                <w:rtl/>
              </w:rPr>
              <w:tab/>
            </w:r>
          </w:p>
        </w:tc>
        <w:tc>
          <w:tcPr>
            <w:tcW w:w="5539" w:type="dxa"/>
            <w:gridSpan w:val="2"/>
          </w:tcPr>
          <w:p w:rsidR="008450E5" w:rsidRPr="00420E12" w:rsidRDefault="00E9196F" w:rsidP="008450E5">
            <w:pPr>
              <w:rPr>
                <w:rFonts w:ascii="Arial" w:hAnsi="Arial"/>
                <w:b/>
                <w:bCs/>
                <w:sz w:val="26"/>
                <w:szCs w:val="26"/>
                <w:rtl/>
              </w:rPr>
            </w:pPr>
            <w:r>
              <w:rPr>
                <w:rFonts w:ascii="Arial" w:hAnsi="Arial" w:hint="cs"/>
                <w:b/>
                <w:bCs/>
                <w:sz w:val="26"/>
                <w:szCs w:val="26"/>
                <w:rtl/>
              </w:rPr>
              <w:t>אפרים אוריון</w:t>
            </w:r>
          </w:p>
          <w:p w:rsidR="008450E5" w:rsidRDefault="008450E5" w:rsidP="008450E5">
            <w:pPr>
              <w:rPr>
                <w:rFonts w:ascii="Arial" w:hAnsi="Arial"/>
                <w:b/>
                <w:bCs/>
                <w:sz w:val="26"/>
                <w:szCs w:val="26"/>
                <w:rtl/>
              </w:rPr>
            </w:pPr>
            <w:r>
              <w:rPr>
                <w:rFonts w:ascii="Arial" w:hAnsi="Arial" w:hint="cs"/>
                <w:b/>
                <w:bCs/>
                <w:sz w:val="26"/>
                <w:szCs w:val="26"/>
                <w:rtl/>
              </w:rPr>
              <w:t>(באמצעות כונס הנכסים עו"ד שמואל גלינקא)</w:t>
            </w:r>
          </w:p>
          <w:p w:rsidR="008450E5" w:rsidRPr="00420E12" w:rsidRDefault="008450E5" w:rsidP="008450E5">
            <w:pPr>
              <w:rPr>
                <w:rFonts w:ascii="Arial" w:hAnsi="Arial"/>
                <w:b/>
                <w:bCs/>
                <w:sz w:val="26"/>
                <w:szCs w:val="26"/>
                <w:rtl/>
              </w:rPr>
            </w:pPr>
            <w:r>
              <w:rPr>
                <w:rFonts w:ascii="Arial" w:hAnsi="Arial" w:hint="cs"/>
                <w:b/>
                <w:bCs/>
                <w:sz w:val="26"/>
                <w:szCs w:val="26"/>
                <w:rtl/>
              </w:rPr>
              <w:t>ע"י ב"כ עוה"ד שגיב רון ומיכל רצ'ולסקי</w:t>
            </w:r>
            <w:r w:rsidRPr="00420E12">
              <w:rPr>
                <w:rFonts w:ascii="Arial" w:hAnsi="Arial"/>
                <w:b/>
                <w:bCs/>
                <w:sz w:val="26"/>
                <w:szCs w:val="26"/>
                <w:rtl/>
              </w:rPr>
              <w:t xml:space="preserve">   </w:t>
            </w:r>
          </w:p>
          <w:p w:rsidR="008450E5" w:rsidRPr="00420E12" w:rsidRDefault="008450E5" w:rsidP="008450E5">
            <w:pPr>
              <w:rPr>
                <w:rFonts w:ascii="Arial" w:hAnsi="Arial"/>
                <w:b/>
                <w:bCs/>
                <w:sz w:val="26"/>
                <w:szCs w:val="26"/>
              </w:rPr>
            </w:pPr>
          </w:p>
        </w:tc>
      </w:tr>
      <w:tr w:rsidR="008450E5" w:rsidRPr="00420E12" w:rsidTr="008F3A58">
        <w:tc>
          <w:tcPr>
            <w:tcW w:w="8820" w:type="dxa"/>
            <w:gridSpan w:val="4"/>
          </w:tcPr>
          <w:p w:rsidR="008450E5" w:rsidRPr="00420E12" w:rsidRDefault="008450E5" w:rsidP="008450E5">
            <w:pPr>
              <w:rPr>
                <w:rFonts w:ascii="Arial" w:hAnsi="Arial"/>
                <w:b/>
                <w:bCs/>
                <w:sz w:val="26"/>
                <w:szCs w:val="26"/>
                <w:rtl/>
              </w:rPr>
            </w:pPr>
          </w:p>
          <w:p w:rsidR="008450E5" w:rsidRPr="00420E12" w:rsidRDefault="008450E5" w:rsidP="008450E5">
            <w:pPr>
              <w:jc w:val="center"/>
              <w:rPr>
                <w:rFonts w:ascii="Arial" w:hAnsi="Arial"/>
                <w:b/>
                <w:bCs/>
                <w:sz w:val="26"/>
                <w:szCs w:val="26"/>
                <w:rtl/>
              </w:rPr>
            </w:pPr>
            <w:r w:rsidRPr="00420E12">
              <w:rPr>
                <w:rFonts w:ascii="Arial" w:hAnsi="Arial"/>
                <w:b/>
                <w:bCs/>
                <w:sz w:val="26"/>
                <w:szCs w:val="26"/>
                <w:rtl/>
              </w:rPr>
              <w:t>נגד</w:t>
            </w:r>
          </w:p>
          <w:p w:rsidR="008450E5" w:rsidRPr="00420E12" w:rsidRDefault="008450E5" w:rsidP="008450E5">
            <w:pPr>
              <w:rPr>
                <w:rFonts w:ascii="Arial" w:hAnsi="Arial"/>
                <w:b/>
                <w:bCs/>
                <w:sz w:val="26"/>
                <w:szCs w:val="26"/>
              </w:rPr>
            </w:pPr>
          </w:p>
        </w:tc>
      </w:tr>
      <w:tr w:rsidR="008450E5" w:rsidRPr="00420E12" w:rsidTr="008F3A58">
        <w:sdt>
          <w:sdtPr>
            <w:rPr>
              <w:sz w:val="26"/>
              <w:szCs w:val="26"/>
              <w:rtl/>
            </w:rPr>
            <w:alias w:val="1184"/>
            <w:tag w:val="1184"/>
            <w:id w:val="469171988"/>
            <w:text/>
          </w:sdtPr>
          <w:sdtEndPr/>
          <w:sdtContent>
            <w:tc>
              <w:tcPr>
                <w:tcW w:w="3281" w:type="dxa"/>
                <w:gridSpan w:val="2"/>
              </w:tcPr>
              <w:p w:rsidR="008450E5" w:rsidRPr="00420E12" w:rsidRDefault="008450E5" w:rsidP="008450E5">
                <w:pPr>
                  <w:rPr>
                    <w:rFonts w:ascii="Arial" w:hAnsi="Arial"/>
                    <w:b/>
                    <w:bCs/>
                    <w:sz w:val="26"/>
                    <w:szCs w:val="26"/>
                  </w:rPr>
                </w:pPr>
                <w:r w:rsidRPr="00420E12">
                  <w:rPr>
                    <w:rFonts w:ascii="Arial" w:hAnsi="Arial"/>
                    <w:b/>
                    <w:bCs/>
                    <w:sz w:val="26"/>
                    <w:szCs w:val="26"/>
                    <w:rtl/>
                  </w:rPr>
                  <w:t>משיב</w:t>
                </w:r>
              </w:p>
            </w:tc>
          </w:sdtContent>
        </w:sdt>
        <w:tc>
          <w:tcPr>
            <w:tcW w:w="5539" w:type="dxa"/>
            <w:gridSpan w:val="2"/>
          </w:tcPr>
          <w:p w:rsidR="008450E5" w:rsidRPr="00420E12" w:rsidRDefault="008450E5" w:rsidP="008450E5">
            <w:pPr>
              <w:rPr>
                <w:rFonts w:ascii="Arial" w:hAnsi="Arial"/>
                <w:b/>
                <w:bCs/>
                <w:sz w:val="26"/>
                <w:szCs w:val="26"/>
                <w:rtl/>
              </w:rPr>
            </w:pPr>
          </w:p>
          <w:p w:rsidR="008450E5" w:rsidRPr="008450E5" w:rsidRDefault="0089059F" w:rsidP="008450E5">
            <w:pPr>
              <w:rPr>
                <w:rFonts w:ascii="Arial" w:hAnsi="Arial"/>
                <w:b/>
                <w:bCs/>
                <w:sz w:val="26"/>
                <w:szCs w:val="26"/>
                <w:rtl/>
              </w:rPr>
            </w:pPr>
            <w:sdt>
              <w:sdtPr>
                <w:rPr>
                  <w:b/>
                  <w:bCs/>
                  <w:sz w:val="26"/>
                  <w:szCs w:val="26"/>
                  <w:rtl/>
                </w:rPr>
                <w:alias w:val="1486"/>
                <w:tag w:val="1486"/>
                <w:id w:val="-1044989751"/>
                <w:text w:multiLine="1"/>
              </w:sdtPr>
              <w:sdtEndPr/>
              <w:sdtContent>
                <w:r w:rsidR="008450E5" w:rsidRPr="008450E5">
                  <w:rPr>
                    <w:b/>
                    <w:bCs/>
                    <w:sz w:val="26"/>
                    <w:szCs w:val="26"/>
                    <w:rtl/>
                  </w:rPr>
                  <w:t>מנהל מיסוי מקרקעין תל אביב</w:t>
                </w:r>
                <w:r w:rsidR="008450E5" w:rsidRPr="008450E5">
                  <w:rPr>
                    <w:b/>
                    <w:bCs/>
                    <w:sz w:val="26"/>
                    <w:szCs w:val="26"/>
                    <w:rtl/>
                  </w:rPr>
                  <w:br/>
                </w:r>
                <w:r w:rsidR="008450E5" w:rsidRPr="008450E5">
                  <w:rPr>
                    <w:rFonts w:hint="cs"/>
                    <w:b/>
                    <w:bCs/>
                    <w:sz w:val="26"/>
                    <w:szCs w:val="26"/>
                    <w:rtl/>
                  </w:rPr>
                  <w:t>ע"י ב"כ עו"ד רויטל בן-דוד</w:t>
                </w:r>
                <w:r w:rsidR="008450E5" w:rsidRPr="008450E5">
                  <w:rPr>
                    <w:b/>
                    <w:bCs/>
                    <w:sz w:val="26"/>
                    <w:szCs w:val="26"/>
                    <w:rtl/>
                  </w:rPr>
                  <w:br/>
                </w:r>
                <w:r w:rsidR="008450E5" w:rsidRPr="008450E5">
                  <w:rPr>
                    <w:rFonts w:hint="cs"/>
                    <w:b/>
                    <w:bCs/>
                    <w:sz w:val="26"/>
                    <w:szCs w:val="26"/>
                    <w:rtl/>
                  </w:rPr>
                  <w:t>פמת"א (אזרחי)</w:t>
                </w:r>
              </w:sdtContent>
            </w:sdt>
          </w:p>
          <w:p w:rsidR="008450E5" w:rsidRPr="008450E5" w:rsidRDefault="008450E5" w:rsidP="008450E5">
            <w:pPr>
              <w:rPr>
                <w:rFonts w:ascii="Arial" w:hAnsi="Arial"/>
                <w:b/>
                <w:bCs/>
                <w:sz w:val="26"/>
                <w:szCs w:val="26"/>
                <w:rtl/>
              </w:rPr>
            </w:pPr>
          </w:p>
          <w:p w:rsidR="008450E5" w:rsidRPr="00420E12" w:rsidRDefault="008450E5" w:rsidP="008450E5">
            <w:pPr>
              <w:bidi w:val="0"/>
              <w:jc w:val="right"/>
              <w:rPr>
                <w:rFonts w:ascii="Arial" w:hAnsi="Arial"/>
                <w:b/>
                <w:bCs/>
                <w:sz w:val="26"/>
                <w:szCs w:val="26"/>
                <w:rtl/>
              </w:rPr>
            </w:pPr>
          </w:p>
        </w:tc>
      </w:tr>
    </w:tbl>
    <w:p w:rsidR="0002177A" w:rsidRDefault="0002177A">
      <w:pPr>
        <w:rPr>
          <w:rtl/>
        </w:rPr>
      </w:pPr>
    </w:p>
    <w:p w:rsidR="0002177A" w:rsidRDefault="0002177A">
      <w:pPr>
        <w:rPr>
          <w:rtl/>
        </w:rPr>
      </w:pPr>
    </w:p>
    <w:p w:rsidR="0002177A" w:rsidRDefault="0002177A"/>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02177A">
        <w:trPr>
          <w:jc w:val="center"/>
        </w:trPr>
        <w:tc>
          <w:tcPr>
            <w:tcW w:w="8820" w:type="dxa"/>
          </w:tcPr>
          <w:p w:rsidR="0002177A" w:rsidRDefault="00375F47">
            <w:pPr>
              <w:jc w:val="center"/>
              <w:rPr>
                <w:rFonts w:ascii="Arial" w:hAnsi="Arial"/>
                <w:b/>
                <w:bCs/>
                <w:sz w:val="32"/>
                <w:szCs w:val="32"/>
                <w:u w:val="single"/>
                <w:rtl/>
              </w:rPr>
            </w:pPr>
            <w:r w:rsidRPr="008450E5">
              <w:rPr>
                <w:rFonts w:ascii="Arial" w:hAnsi="Arial"/>
                <w:b/>
                <w:bCs/>
                <w:sz w:val="32"/>
                <w:szCs w:val="32"/>
                <w:u w:val="single"/>
                <w:rtl/>
              </w:rPr>
              <w:t>החלטה</w:t>
            </w:r>
          </w:p>
          <w:p w:rsidR="008450E5" w:rsidRPr="008450E5" w:rsidRDefault="008450E5">
            <w:pPr>
              <w:jc w:val="center"/>
              <w:rPr>
                <w:rFonts w:ascii="Arial" w:hAnsi="Arial"/>
                <w:b/>
                <w:bCs/>
                <w:sz w:val="32"/>
                <w:szCs w:val="32"/>
                <w:u w:val="single"/>
              </w:rPr>
            </w:pPr>
          </w:p>
        </w:tc>
      </w:tr>
    </w:tbl>
    <w:p w:rsidR="008450E5" w:rsidRPr="008450E5" w:rsidRDefault="008450E5" w:rsidP="008450E5">
      <w:pPr>
        <w:spacing w:line="360" w:lineRule="auto"/>
        <w:jc w:val="both"/>
        <w:rPr>
          <w:rFonts w:ascii="David" w:hAnsi="David"/>
          <w:b/>
          <w:bCs/>
          <w:sz w:val="28"/>
          <w:szCs w:val="28"/>
          <w:u w:val="single"/>
        </w:rPr>
      </w:pPr>
      <w:r w:rsidRPr="008450E5">
        <w:rPr>
          <w:rFonts w:ascii="David" w:hAnsi="David"/>
          <w:b/>
          <w:bCs/>
          <w:noProof/>
          <w:sz w:val="28"/>
          <w:szCs w:val="28"/>
          <w:u w:val="single"/>
          <w:rtl/>
        </w:rPr>
        <w:t>יו"ר הוועדה, כב' השופטת ירדנה סרוסי</w:t>
      </w:r>
    </w:p>
    <w:p w:rsidR="00FA61E5" w:rsidRDefault="00FA61E5" w:rsidP="008B1013">
      <w:pPr>
        <w:spacing w:after="240" w:line="360" w:lineRule="auto"/>
        <w:jc w:val="both"/>
        <w:rPr>
          <w:rFonts w:ascii="David" w:hAnsi="David"/>
          <w:sz w:val="26"/>
          <w:szCs w:val="26"/>
          <w:rtl/>
        </w:rPr>
      </w:pPr>
      <w:r>
        <w:rPr>
          <w:rFonts w:ascii="David" w:hAnsi="David" w:hint="cs"/>
          <w:sz w:val="26"/>
          <w:szCs w:val="26"/>
          <w:rtl/>
        </w:rPr>
        <w:t>לפניי בקשה להגשת ראיות נוספות</w:t>
      </w:r>
      <w:r w:rsidR="008B1013">
        <w:rPr>
          <w:rFonts w:ascii="David" w:hAnsi="David" w:hint="cs"/>
          <w:sz w:val="26"/>
          <w:szCs w:val="26"/>
          <w:rtl/>
        </w:rPr>
        <w:t xml:space="preserve"> לאחר סיום שלב ההוכחות</w:t>
      </w:r>
      <w:r w:rsidRPr="003D024E">
        <w:rPr>
          <w:rFonts w:ascii="David" w:hAnsi="David"/>
          <w:sz w:val="26"/>
          <w:szCs w:val="26"/>
          <w:rtl/>
        </w:rPr>
        <w:t>.</w:t>
      </w:r>
      <w:r>
        <w:rPr>
          <w:rFonts w:ascii="David" w:hAnsi="David" w:hint="cs"/>
          <w:sz w:val="26"/>
          <w:szCs w:val="26"/>
          <w:rtl/>
        </w:rPr>
        <w:t xml:space="preserve"> אקדים ואציין כי לא מצאתי לקבל את הבקשה.</w:t>
      </w:r>
    </w:p>
    <w:p w:rsidR="00FA61E5" w:rsidRPr="00E9196F" w:rsidRDefault="00FA61E5" w:rsidP="00FA61E5">
      <w:pPr>
        <w:spacing w:after="240" w:line="360" w:lineRule="auto"/>
        <w:jc w:val="both"/>
        <w:rPr>
          <w:rFonts w:ascii="David" w:hAnsi="David"/>
          <w:b/>
          <w:bCs/>
          <w:sz w:val="26"/>
          <w:szCs w:val="26"/>
          <w:u w:val="single"/>
          <w:rtl/>
        </w:rPr>
      </w:pPr>
      <w:r w:rsidRPr="00E9196F">
        <w:rPr>
          <w:rFonts w:ascii="David" w:hAnsi="David" w:hint="cs"/>
          <w:b/>
          <w:bCs/>
          <w:sz w:val="26"/>
          <w:szCs w:val="26"/>
          <w:u w:val="single"/>
          <w:rtl/>
        </w:rPr>
        <w:t>רקע בתמצית וטענות הצדדים</w:t>
      </w:r>
    </w:p>
    <w:p w:rsidR="00FA61E5" w:rsidRDefault="00FA61E5" w:rsidP="00FA61E5">
      <w:pPr>
        <w:numPr>
          <w:ilvl w:val="0"/>
          <w:numId w:val="4"/>
        </w:numPr>
        <w:spacing w:after="240" w:line="360" w:lineRule="auto"/>
        <w:jc w:val="both"/>
        <w:rPr>
          <w:rFonts w:ascii="David" w:hAnsi="David"/>
          <w:sz w:val="26"/>
          <w:szCs w:val="26"/>
        </w:rPr>
      </w:pPr>
      <w:r>
        <w:rPr>
          <w:rFonts w:ascii="David" w:hAnsi="David" w:hint="cs"/>
          <w:sz w:val="26"/>
          <w:szCs w:val="26"/>
          <w:rtl/>
        </w:rPr>
        <w:t>עניינו המרכזי של הערר דנן הוא בשאלה האם בית שנמכר עונה להגדרת "דירת מגורים" לפי סעיף 1 ל</w:t>
      </w:r>
      <w:r w:rsidRPr="00736DA4">
        <w:rPr>
          <w:rFonts w:ascii="David" w:hAnsi="David"/>
          <w:sz w:val="26"/>
          <w:szCs w:val="26"/>
          <w:rtl/>
        </w:rPr>
        <w:t xml:space="preserve">חוק מיסוי מקרקעין (שבח ורכישה), </w:t>
      </w:r>
      <w:r>
        <w:rPr>
          <w:rFonts w:ascii="David" w:hAnsi="David" w:hint="cs"/>
          <w:sz w:val="26"/>
          <w:szCs w:val="26"/>
          <w:rtl/>
        </w:rPr>
        <w:t>ה</w:t>
      </w:r>
      <w:r w:rsidRPr="00736DA4">
        <w:rPr>
          <w:rFonts w:ascii="David" w:hAnsi="David"/>
          <w:sz w:val="26"/>
          <w:szCs w:val="26"/>
          <w:rtl/>
        </w:rPr>
        <w:t>תשכ"ג-1963</w:t>
      </w:r>
      <w:r>
        <w:rPr>
          <w:rFonts w:ascii="David" w:hAnsi="David" w:hint="cs"/>
          <w:sz w:val="26"/>
          <w:szCs w:val="26"/>
          <w:rtl/>
        </w:rPr>
        <w:t>. העורר טוען שכן, ואילו המשיב טוען שלא. לעמדת המשיב, מדובר בדירה שבנייתה טרם נסתיימה.</w:t>
      </w:r>
    </w:p>
    <w:p w:rsidR="00FA61E5" w:rsidRDefault="00FA61E5" w:rsidP="00FA61E5">
      <w:pPr>
        <w:numPr>
          <w:ilvl w:val="0"/>
          <w:numId w:val="4"/>
        </w:numPr>
        <w:spacing w:after="240" w:line="360" w:lineRule="auto"/>
        <w:jc w:val="both"/>
        <w:rPr>
          <w:rFonts w:ascii="David" w:hAnsi="David"/>
          <w:sz w:val="26"/>
          <w:szCs w:val="26"/>
        </w:rPr>
      </w:pPr>
      <w:r>
        <w:rPr>
          <w:rFonts w:ascii="David" w:hAnsi="David" w:hint="cs"/>
          <w:sz w:val="26"/>
          <w:szCs w:val="26"/>
          <w:rtl/>
        </w:rPr>
        <w:t>הצדדים הגישו תצהירים (העורר הגיש את תצהירו ביום 26.11.2023) והתקיים דיון הוכחות ביום 19.9.2024, בין היתר, ביחס לשאלה האם בנייתו של הבית נסתיימה והאם ניתן היה לגור בו.</w:t>
      </w:r>
    </w:p>
    <w:p w:rsidR="00FA61E5" w:rsidRPr="00E85B8F" w:rsidRDefault="00FA61E5" w:rsidP="00FA61E5">
      <w:pPr>
        <w:numPr>
          <w:ilvl w:val="0"/>
          <w:numId w:val="4"/>
        </w:numPr>
        <w:spacing w:after="240" w:line="360" w:lineRule="auto"/>
        <w:jc w:val="both"/>
        <w:rPr>
          <w:rFonts w:ascii="David" w:hAnsi="David"/>
          <w:sz w:val="26"/>
          <w:szCs w:val="26"/>
        </w:rPr>
      </w:pPr>
      <w:r>
        <w:rPr>
          <w:rFonts w:ascii="David" w:hAnsi="David" w:hint="cs"/>
          <w:sz w:val="26"/>
          <w:szCs w:val="26"/>
          <w:rtl/>
        </w:rPr>
        <w:t>ביום 5.12.2024, עשרה ימים טרם המועד להגשת סיכומי העורר, הגיש העורר את הבקשה דנן להוספת ראיות נוספות.</w:t>
      </w:r>
    </w:p>
    <w:p w:rsidR="00FA61E5" w:rsidRDefault="00FA61E5" w:rsidP="00FA61E5">
      <w:pPr>
        <w:numPr>
          <w:ilvl w:val="0"/>
          <w:numId w:val="4"/>
        </w:numPr>
        <w:spacing w:after="240" w:line="360" w:lineRule="auto"/>
        <w:jc w:val="both"/>
        <w:rPr>
          <w:rFonts w:ascii="David" w:hAnsi="David"/>
          <w:sz w:val="26"/>
          <w:szCs w:val="26"/>
        </w:rPr>
      </w:pPr>
      <w:r>
        <w:rPr>
          <w:rFonts w:ascii="David" w:hAnsi="David" w:hint="cs"/>
          <w:sz w:val="26"/>
          <w:szCs w:val="26"/>
          <w:rtl/>
        </w:rPr>
        <w:t>העורר מבקש להוסיף ראיות משלושה סוגים שונים:</w:t>
      </w:r>
    </w:p>
    <w:p w:rsidR="00FA61E5" w:rsidRDefault="00FA61E5" w:rsidP="00FA61E5">
      <w:pPr>
        <w:numPr>
          <w:ilvl w:val="1"/>
          <w:numId w:val="4"/>
        </w:numPr>
        <w:spacing w:after="240" w:line="360" w:lineRule="auto"/>
        <w:jc w:val="both"/>
        <w:rPr>
          <w:rFonts w:ascii="David" w:hAnsi="David"/>
          <w:sz w:val="26"/>
          <w:szCs w:val="26"/>
        </w:rPr>
      </w:pPr>
      <w:r w:rsidRPr="00C45120">
        <w:rPr>
          <w:rFonts w:ascii="David" w:hAnsi="David"/>
          <w:sz w:val="26"/>
          <w:szCs w:val="26"/>
          <w:rtl/>
        </w:rPr>
        <w:lastRenderedPageBreak/>
        <w:t>פרוטוקול דיון בהוצל"פ מיום 20.6.2022. במהלך הדיון בהוצל"פ</w:t>
      </w:r>
      <w:r w:rsidRPr="00C45120">
        <w:rPr>
          <w:rFonts w:ascii="David" w:hAnsi="David" w:hint="cs"/>
          <w:sz w:val="26"/>
          <w:szCs w:val="26"/>
          <w:rtl/>
        </w:rPr>
        <w:t xml:space="preserve"> </w:t>
      </w:r>
      <w:r w:rsidRPr="00C45120">
        <w:rPr>
          <w:rFonts w:ascii="David" w:hAnsi="David"/>
          <w:sz w:val="26"/>
          <w:szCs w:val="26"/>
          <w:rtl/>
        </w:rPr>
        <w:t xml:space="preserve">הצהיר החייב כי הוא התגורר בבית בתקופה שבין יוני 2012 </w:t>
      </w:r>
      <w:r>
        <w:rPr>
          <w:rFonts w:ascii="David" w:hAnsi="David" w:hint="cs"/>
          <w:sz w:val="26"/>
          <w:szCs w:val="26"/>
          <w:rtl/>
        </w:rPr>
        <w:t>ל</w:t>
      </w:r>
      <w:r w:rsidRPr="00C45120">
        <w:rPr>
          <w:rFonts w:ascii="David" w:hAnsi="David"/>
          <w:sz w:val="26"/>
          <w:szCs w:val="26"/>
          <w:rtl/>
        </w:rPr>
        <w:t>יוני</w:t>
      </w:r>
      <w:r>
        <w:rPr>
          <w:rFonts w:ascii="David" w:hAnsi="David" w:hint="cs"/>
          <w:sz w:val="26"/>
          <w:szCs w:val="26"/>
          <w:rtl/>
        </w:rPr>
        <w:t xml:space="preserve"> </w:t>
      </w:r>
      <w:r>
        <w:rPr>
          <w:rFonts w:ascii="David" w:hAnsi="David"/>
          <w:sz w:val="26"/>
          <w:szCs w:val="26"/>
          <w:rtl/>
        </w:rPr>
        <w:t>2013</w:t>
      </w:r>
      <w:r w:rsidRPr="00C45120">
        <w:rPr>
          <w:rFonts w:ascii="David" w:hAnsi="David"/>
          <w:sz w:val="26"/>
          <w:szCs w:val="26"/>
          <w:rtl/>
        </w:rPr>
        <w:t xml:space="preserve">. כמו כן הצהיר </w:t>
      </w:r>
      <w:r>
        <w:rPr>
          <w:rFonts w:ascii="David" w:hAnsi="David" w:hint="cs"/>
          <w:sz w:val="26"/>
          <w:szCs w:val="26"/>
          <w:rtl/>
        </w:rPr>
        <w:t>החייב</w:t>
      </w:r>
      <w:r w:rsidRPr="00C45120">
        <w:rPr>
          <w:rFonts w:ascii="David" w:hAnsi="David"/>
          <w:sz w:val="26"/>
          <w:szCs w:val="26"/>
          <w:rtl/>
        </w:rPr>
        <w:t xml:space="preserve"> במסגרת הפרוטוקול כי "מים שולם כל מה שנצרך בזמן הגבייה".</w:t>
      </w:r>
      <w:r>
        <w:rPr>
          <w:rFonts w:ascii="David" w:hAnsi="David" w:hint="cs"/>
          <w:sz w:val="26"/>
          <w:szCs w:val="26"/>
          <w:rtl/>
        </w:rPr>
        <w:t xml:space="preserve"> </w:t>
      </w:r>
    </w:p>
    <w:p w:rsidR="00FA61E5" w:rsidRDefault="00FA61E5" w:rsidP="00FA61E5">
      <w:pPr>
        <w:spacing w:after="240" w:line="360" w:lineRule="auto"/>
        <w:ind w:left="792"/>
        <w:jc w:val="both"/>
        <w:rPr>
          <w:rFonts w:ascii="David" w:hAnsi="David"/>
          <w:sz w:val="26"/>
          <w:szCs w:val="26"/>
          <w:rtl/>
        </w:rPr>
      </w:pPr>
      <w:r>
        <w:rPr>
          <w:rFonts w:ascii="David" w:hAnsi="David" w:hint="cs"/>
          <w:sz w:val="26"/>
          <w:szCs w:val="26"/>
          <w:rtl/>
        </w:rPr>
        <w:t xml:space="preserve">לטענת העורר, </w:t>
      </w:r>
      <w:r w:rsidRPr="009D1446">
        <w:rPr>
          <w:rFonts w:ascii="David" w:hAnsi="David"/>
          <w:sz w:val="26"/>
          <w:szCs w:val="26"/>
          <w:rtl/>
        </w:rPr>
        <w:t xml:space="preserve">במסגרת דיון ההוכחות הצהיר </w:t>
      </w:r>
      <w:r>
        <w:rPr>
          <w:rFonts w:ascii="David" w:hAnsi="David" w:hint="cs"/>
          <w:sz w:val="26"/>
          <w:szCs w:val="26"/>
          <w:rtl/>
        </w:rPr>
        <w:t>החייב</w:t>
      </w:r>
      <w:r w:rsidRPr="009D1446">
        <w:rPr>
          <w:rFonts w:ascii="David" w:hAnsi="David"/>
          <w:sz w:val="26"/>
          <w:szCs w:val="26"/>
          <w:rtl/>
        </w:rPr>
        <w:t xml:space="preserve"> כי "המים היו מהשכן". במצב דברים זה, קיימת חשיבות רבה</w:t>
      </w:r>
      <w:r>
        <w:rPr>
          <w:rFonts w:ascii="David" w:hAnsi="David" w:hint="cs"/>
          <w:sz w:val="26"/>
          <w:szCs w:val="26"/>
          <w:rtl/>
        </w:rPr>
        <w:t xml:space="preserve"> </w:t>
      </w:r>
      <w:r w:rsidRPr="009D1446">
        <w:rPr>
          <w:rFonts w:ascii="David" w:hAnsi="David"/>
          <w:sz w:val="26"/>
          <w:szCs w:val="26"/>
          <w:rtl/>
        </w:rPr>
        <w:t>בהגשת הפרוטוקול ויש בכך עדות הזמה לעדותו.</w:t>
      </w:r>
      <w:r w:rsidRPr="009D1446">
        <w:rPr>
          <w:rtl/>
        </w:rPr>
        <w:t xml:space="preserve"> </w:t>
      </w:r>
      <w:r w:rsidRPr="009D1446">
        <w:rPr>
          <w:rFonts w:ascii="David" w:hAnsi="David"/>
          <w:sz w:val="26"/>
          <w:szCs w:val="26"/>
          <w:rtl/>
        </w:rPr>
        <w:t>עוד עלה מהפרוטוקול שמבוקש להגיש כי נציגת העירייה טענה שחוב המים נוצר בשנת</w:t>
      </w:r>
      <w:r>
        <w:rPr>
          <w:rFonts w:ascii="David" w:hAnsi="David" w:hint="cs"/>
          <w:sz w:val="26"/>
          <w:szCs w:val="26"/>
          <w:rtl/>
        </w:rPr>
        <w:t xml:space="preserve"> </w:t>
      </w:r>
      <w:r w:rsidRPr="009D1446">
        <w:rPr>
          <w:rFonts w:ascii="David" w:hAnsi="David"/>
          <w:sz w:val="26"/>
          <w:szCs w:val="26"/>
          <w:rtl/>
        </w:rPr>
        <w:t>2001 וכמו כן שהיה חוב קודם של מים שמר אוריון שילם בשנת 2000. נציגת העירייה</w:t>
      </w:r>
      <w:r>
        <w:rPr>
          <w:rFonts w:ascii="David" w:hAnsi="David" w:hint="cs"/>
          <w:sz w:val="26"/>
          <w:szCs w:val="26"/>
          <w:rtl/>
        </w:rPr>
        <w:t xml:space="preserve"> אף</w:t>
      </w:r>
      <w:r w:rsidRPr="009D1446">
        <w:rPr>
          <w:rFonts w:ascii="David" w:hAnsi="David"/>
          <w:sz w:val="26"/>
          <w:szCs w:val="26"/>
          <w:rtl/>
        </w:rPr>
        <w:t xml:space="preserve"> אישרה </w:t>
      </w:r>
      <w:r>
        <w:rPr>
          <w:rFonts w:ascii="David" w:hAnsi="David" w:hint="cs"/>
          <w:sz w:val="26"/>
          <w:szCs w:val="26"/>
          <w:rtl/>
        </w:rPr>
        <w:t xml:space="preserve">בפרוטוקול </w:t>
      </w:r>
      <w:r w:rsidRPr="009D1446">
        <w:rPr>
          <w:rFonts w:ascii="David" w:hAnsi="David"/>
          <w:sz w:val="26"/>
          <w:szCs w:val="26"/>
          <w:rtl/>
        </w:rPr>
        <w:t>שהעירייה חייבה את הנכס בארנונה בגין דירת מגורים</w:t>
      </w:r>
      <w:r>
        <w:rPr>
          <w:rFonts w:ascii="David" w:hAnsi="David" w:hint="cs"/>
          <w:sz w:val="26"/>
          <w:szCs w:val="26"/>
          <w:rtl/>
        </w:rPr>
        <w:t>.</w:t>
      </w:r>
    </w:p>
    <w:p w:rsidR="00FA61E5" w:rsidRDefault="00FA61E5" w:rsidP="00FA61E5">
      <w:pPr>
        <w:numPr>
          <w:ilvl w:val="1"/>
          <w:numId w:val="4"/>
        </w:numPr>
        <w:spacing w:after="240" w:line="360" w:lineRule="auto"/>
        <w:jc w:val="both"/>
        <w:rPr>
          <w:rFonts w:ascii="David" w:hAnsi="David"/>
          <w:sz w:val="26"/>
          <w:szCs w:val="26"/>
        </w:rPr>
      </w:pPr>
      <w:r w:rsidRPr="00C45120">
        <w:rPr>
          <w:rFonts w:ascii="David" w:hAnsi="David"/>
          <w:sz w:val="26"/>
          <w:szCs w:val="26"/>
          <w:rtl/>
        </w:rPr>
        <w:t xml:space="preserve">הסכם בין העורר </w:t>
      </w:r>
      <w:r w:rsidRPr="00C45120">
        <w:rPr>
          <w:rFonts w:ascii="David" w:hAnsi="David" w:hint="cs"/>
          <w:sz w:val="26"/>
          <w:szCs w:val="26"/>
          <w:rtl/>
        </w:rPr>
        <w:t xml:space="preserve">ובין </w:t>
      </w:r>
      <w:r w:rsidRPr="00C45120">
        <w:rPr>
          <w:rFonts w:ascii="David" w:hAnsi="David"/>
          <w:sz w:val="26"/>
          <w:szCs w:val="26"/>
          <w:rtl/>
        </w:rPr>
        <w:t>קבלן שיפוצים</w:t>
      </w:r>
      <w:r w:rsidRPr="00C45120">
        <w:rPr>
          <w:rFonts w:ascii="David" w:hAnsi="David" w:hint="cs"/>
          <w:sz w:val="26"/>
          <w:szCs w:val="26"/>
          <w:rtl/>
        </w:rPr>
        <w:t xml:space="preserve"> </w:t>
      </w:r>
      <w:r w:rsidRPr="00C45120">
        <w:rPr>
          <w:rFonts w:ascii="David" w:hAnsi="David"/>
          <w:sz w:val="26"/>
          <w:szCs w:val="26"/>
          <w:rtl/>
        </w:rPr>
        <w:t>מחודש נובמבר 2019, המלמד על ביצוע עבודות שיפוץ בבית טרם מכירתו</w:t>
      </w:r>
      <w:r w:rsidRPr="00EF1C08">
        <w:rPr>
          <w:rFonts w:ascii="David" w:hAnsi="David"/>
          <w:sz w:val="26"/>
          <w:szCs w:val="26"/>
          <w:rtl/>
        </w:rPr>
        <w:t xml:space="preserve"> </w:t>
      </w:r>
      <w:r>
        <w:rPr>
          <w:rFonts w:ascii="David" w:hAnsi="David" w:hint="cs"/>
          <w:sz w:val="26"/>
          <w:szCs w:val="26"/>
          <w:rtl/>
        </w:rPr>
        <w:t>וחיבורו</w:t>
      </w:r>
      <w:r w:rsidRPr="00E831B9">
        <w:rPr>
          <w:rFonts w:ascii="David" w:hAnsi="David"/>
          <w:sz w:val="26"/>
          <w:szCs w:val="26"/>
          <w:rtl/>
        </w:rPr>
        <w:t xml:space="preserve"> למים</w:t>
      </w:r>
      <w:r w:rsidRPr="00C45120">
        <w:rPr>
          <w:rFonts w:ascii="David" w:hAnsi="David"/>
          <w:sz w:val="26"/>
          <w:szCs w:val="26"/>
          <w:rtl/>
        </w:rPr>
        <w:t>, וכן חשבוניות המעידות על תשלום בגין ביצוע עבודות השיפוץ</w:t>
      </w:r>
      <w:r>
        <w:rPr>
          <w:rFonts w:ascii="David" w:hAnsi="David" w:hint="cs"/>
          <w:sz w:val="26"/>
          <w:szCs w:val="26"/>
          <w:rtl/>
        </w:rPr>
        <w:t>.</w:t>
      </w:r>
    </w:p>
    <w:p w:rsidR="00FA61E5" w:rsidRPr="00C45120" w:rsidRDefault="00FA61E5" w:rsidP="00FA61E5">
      <w:pPr>
        <w:spacing w:after="240" w:line="360" w:lineRule="auto"/>
        <w:ind w:left="792"/>
        <w:jc w:val="both"/>
        <w:rPr>
          <w:rFonts w:ascii="David" w:hAnsi="David"/>
          <w:sz w:val="26"/>
          <w:szCs w:val="26"/>
          <w:rtl/>
        </w:rPr>
      </w:pPr>
      <w:r>
        <w:rPr>
          <w:rFonts w:ascii="David" w:hAnsi="David" w:hint="cs"/>
          <w:sz w:val="26"/>
          <w:szCs w:val="26"/>
          <w:rtl/>
        </w:rPr>
        <w:t xml:space="preserve">לטענת העורר, </w:t>
      </w:r>
      <w:r w:rsidRPr="00E831B9">
        <w:rPr>
          <w:rFonts w:ascii="David" w:hAnsi="David"/>
          <w:sz w:val="26"/>
          <w:szCs w:val="26"/>
          <w:rtl/>
        </w:rPr>
        <w:t>במהלך דיון ההוכחות חקר המשיב את העורר על שיפוץ שערך העורר בבית טרם מכירתו. במסגרת</w:t>
      </w:r>
      <w:r>
        <w:rPr>
          <w:rFonts w:ascii="David" w:hAnsi="David" w:hint="cs"/>
          <w:sz w:val="26"/>
          <w:szCs w:val="26"/>
          <w:rtl/>
        </w:rPr>
        <w:t xml:space="preserve"> </w:t>
      </w:r>
      <w:r w:rsidRPr="00E831B9">
        <w:rPr>
          <w:rFonts w:ascii="David" w:hAnsi="David"/>
          <w:sz w:val="26"/>
          <w:szCs w:val="26"/>
          <w:rtl/>
        </w:rPr>
        <w:t>החקירה הנגדית הפתיע המשיב את העורר ועימת אותו עם פרוטוקול שנערך בדיון בהוצאה לפועל</w:t>
      </w:r>
      <w:r>
        <w:rPr>
          <w:rFonts w:ascii="David" w:hAnsi="David" w:hint="cs"/>
          <w:sz w:val="26"/>
          <w:szCs w:val="26"/>
          <w:rtl/>
        </w:rPr>
        <w:t xml:space="preserve"> לפיו </w:t>
      </w:r>
      <w:r w:rsidRPr="00E831B9">
        <w:rPr>
          <w:rFonts w:ascii="David" w:hAnsi="David"/>
          <w:sz w:val="26"/>
          <w:szCs w:val="26"/>
          <w:rtl/>
        </w:rPr>
        <w:t>העורר ערך שיפוץ בבית טרם העמדתו למכירה</w:t>
      </w:r>
      <w:r>
        <w:rPr>
          <w:rFonts w:ascii="David" w:hAnsi="David" w:hint="cs"/>
          <w:sz w:val="26"/>
          <w:szCs w:val="26"/>
          <w:rtl/>
        </w:rPr>
        <w:t xml:space="preserve"> (</w:t>
      </w:r>
      <w:r w:rsidRPr="00E831B9">
        <w:rPr>
          <w:rFonts w:ascii="David" w:hAnsi="David"/>
          <w:sz w:val="26"/>
          <w:szCs w:val="26"/>
          <w:rtl/>
        </w:rPr>
        <w:t>מוצג מש/1</w:t>
      </w:r>
      <w:r>
        <w:rPr>
          <w:rFonts w:ascii="David" w:hAnsi="David" w:hint="cs"/>
          <w:sz w:val="26"/>
          <w:szCs w:val="26"/>
          <w:rtl/>
        </w:rPr>
        <w:t>)</w:t>
      </w:r>
      <w:r w:rsidRPr="00E831B9">
        <w:rPr>
          <w:rFonts w:ascii="David" w:hAnsi="David"/>
          <w:sz w:val="26"/>
          <w:szCs w:val="26"/>
          <w:rtl/>
        </w:rPr>
        <w:t>. במהלך</w:t>
      </w:r>
      <w:r>
        <w:rPr>
          <w:rFonts w:ascii="David" w:hAnsi="David" w:hint="cs"/>
          <w:sz w:val="26"/>
          <w:szCs w:val="26"/>
          <w:rtl/>
        </w:rPr>
        <w:t xml:space="preserve"> </w:t>
      </w:r>
      <w:r w:rsidRPr="00E831B9">
        <w:rPr>
          <w:rFonts w:ascii="David" w:hAnsi="David"/>
          <w:sz w:val="26"/>
          <w:szCs w:val="26"/>
          <w:rtl/>
        </w:rPr>
        <w:t>החקירה נשאל העורר על ידי המשיב על השיפוץ האמור, תוך שהעורר ענה על פי מיטב זכרונו.</w:t>
      </w:r>
      <w:r>
        <w:rPr>
          <w:rFonts w:ascii="David" w:hAnsi="David"/>
          <w:sz w:val="26"/>
          <w:szCs w:val="26"/>
          <w:rtl/>
        </w:rPr>
        <w:t xml:space="preserve"> בעקבות החקירה</w:t>
      </w:r>
      <w:r w:rsidRPr="00E831B9">
        <w:rPr>
          <w:rFonts w:ascii="David" w:hAnsi="David"/>
          <w:sz w:val="26"/>
          <w:szCs w:val="26"/>
          <w:rtl/>
        </w:rPr>
        <w:t xml:space="preserve"> והפניית המשיב לביצוע השיפוץ האמור, איתר העורר את ההסכם על</w:t>
      </w:r>
      <w:r>
        <w:rPr>
          <w:rFonts w:ascii="David" w:hAnsi="David" w:hint="cs"/>
          <w:sz w:val="26"/>
          <w:szCs w:val="26"/>
          <w:rtl/>
        </w:rPr>
        <w:t xml:space="preserve"> </w:t>
      </w:r>
      <w:r w:rsidRPr="00E831B9">
        <w:rPr>
          <w:rFonts w:ascii="David" w:hAnsi="David"/>
          <w:sz w:val="26"/>
          <w:szCs w:val="26"/>
          <w:rtl/>
        </w:rPr>
        <w:t>ב</w:t>
      </w:r>
      <w:r>
        <w:rPr>
          <w:rFonts w:ascii="David" w:hAnsi="David"/>
          <w:sz w:val="26"/>
          <w:szCs w:val="26"/>
          <w:rtl/>
        </w:rPr>
        <w:t>יצוע השיפוץ</w:t>
      </w:r>
      <w:r w:rsidRPr="00E831B9">
        <w:rPr>
          <w:rFonts w:ascii="David" w:hAnsi="David"/>
          <w:sz w:val="26"/>
          <w:szCs w:val="26"/>
          <w:rtl/>
        </w:rPr>
        <w:t xml:space="preserve"> אשר</w:t>
      </w:r>
      <w:r>
        <w:rPr>
          <w:rFonts w:ascii="David" w:hAnsi="David"/>
          <w:sz w:val="26"/>
          <w:szCs w:val="26"/>
          <w:rtl/>
        </w:rPr>
        <w:t xml:space="preserve"> נשאל עליו במסגרת החקירה הנגדית</w:t>
      </w:r>
      <w:r>
        <w:rPr>
          <w:rFonts w:ascii="David" w:hAnsi="David" w:hint="cs"/>
          <w:sz w:val="26"/>
          <w:szCs w:val="26"/>
          <w:rtl/>
        </w:rPr>
        <w:t xml:space="preserve">. </w:t>
      </w:r>
      <w:r w:rsidRPr="00E831B9">
        <w:rPr>
          <w:rFonts w:ascii="David" w:hAnsi="David"/>
          <w:sz w:val="26"/>
          <w:szCs w:val="26"/>
          <w:rtl/>
        </w:rPr>
        <w:t>על מנת להעמיד דברים על דיוקם ולהגיע לחקר האמת, מבוקש להתיר את הגשת ההסכם וכן את</w:t>
      </w:r>
      <w:r>
        <w:rPr>
          <w:rFonts w:ascii="David" w:hAnsi="David" w:hint="cs"/>
          <w:sz w:val="26"/>
          <w:szCs w:val="26"/>
          <w:rtl/>
        </w:rPr>
        <w:t xml:space="preserve"> </w:t>
      </w:r>
      <w:r w:rsidRPr="00E831B9">
        <w:rPr>
          <w:rFonts w:ascii="David" w:hAnsi="David"/>
          <w:sz w:val="26"/>
          <w:szCs w:val="26"/>
          <w:rtl/>
        </w:rPr>
        <w:t xml:space="preserve">החשבוניות המלמדות על </w:t>
      </w:r>
      <w:r>
        <w:rPr>
          <w:rFonts w:ascii="David" w:hAnsi="David" w:hint="cs"/>
          <w:sz w:val="26"/>
          <w:szCs w:val="26"/>
          <w:rtl/>
        </w:rPr>
        <w:t>ה</w:t>
      </w:r>
      <w:r w:rsidRPr="00E831B9">
        <w:rPr>
          <w:rFonts w:ascii="David" w:hAnsi="David"/>
          <w:sz w:val="26"/>
          <w:szCs w:val="26"/>
          <w:rtl/>
        </w:rPr>
        <w:t xml:space="preserve">תשלום </w:t>
      </w:r>
      <w:r>
        <w:rPr>
          <w:rFonts w:ascii="David" w:hAnsi="David" w:hint="cs"/>
          <w:sz w:val="26"/>
          <w:szCs w:val="26"/>
          <w:rtl/>
        </w:rPr>
        <w:t>עבור השיפוץ.</w:t>
      </w:r>
    </w:p>
    <w:p w:rsidR="00FA61E5" w:rsidRDefault="00FA61E5" w:rsidP="00FA61E5">
      <w:pPr>
        <w:numPr>
          <w:ilvl w:val="1"/>
          <w:numId w:val="4"/>
        </w:numPr>
        <w:spacing w:after="240" w:line="360" w:lineRule="auto"/>
        <w:jc w:val="both"/>
        <w:rPr>
          <w:rFonts w:ascii="David" w:hAnsi="David"/>
          <w:sz w:val="26"/>
          <w:szCs w:val="26"/>
        </w:rPr>
      </w:pPr>
      <w:r w:rsidRPr="00C45120">
        <w:rPr>
          <w:rFonts w:ascii="David" w:hAnsi="David"/>
          <w:sz w:val="26"/>
          <w:szCs w:val="26"/>
          <w:rtl/>
        </w:rPr>
        <w:t xml:space="preserve">חשבונות צריכת מים וביוב של חברת מי אביבים 2010 בע"מ </w:t>
      </w:r>
      <w:r w:rsidRPr="00C45120">
        <w:rPr>
          <w:rFonts w:ascii="David" w:hAnsi="David" w:hint="cs"/>
          <w:sz w:val="26"/>
          <w:szCs w:val="26"/>
          <w:rtl/>
        </w:rPr>
        <w:t>ל</w:t>
      </w:r>
      <w:r w:rsidRPr="00C45120">
        <w:rPr>
          <w:rFonts w:ascii="David" w:hAnsi="David"/>
          <w:sz w:val="26"/>
          <w:szCs w:val="26"/>
          <w:rtl/>
        </w:rPr>
        <w:t>תקופ</w:t>
      </w:r>
      <w:r w:rsidRPr="00C45120">
        <w:rPr>
          <w:rFonts w:ascii="David" w:hAnsi="David" w:hint="cs"/>
          <w:sz w:val="26"/>
          <w:szCs w:val="26"/>
          <w:rtl/>
        </w:rPr>
        <w:t>ה</w:t>
      </w:r>
      <w:r w:rsidRPr="00C45120">
        <w:rPr>
          <w:rFonts w:ascii="David" w:hAnsi="David"/>
          <w:sz w:val="26"/>
          <w:szCs w:val="26"/>
          <w:rtl/>
        </w:rPr>
        <w:t xml:space="preserve"> </w:t>
      </w:r>
      <w:r w:rsidRPr="00C45120">
        <w:rPr>
          <w:rFonts w:ascii="David" w:hAnsi="David" w:hint="cs"/>
          <w:sz w:val="26"/>
          <w:szCs w:val="26"/>
          <w:rtl/>
        </w:rPr>
        <w:t>שטרם מכירת הדירה</w:t>
      </w:r>
      <w:r w:rsidRPr="00C45120">
        <w:rPr>
          <w:rFonts w:ascii="David" w:hAnsi="David"/>
          <w:sz w:val="26"/>
          <w:szCs w:val="26"/>
          <w:rtl/>
        </w:rPr>
        <w:t xml:space="preserve">, המעידים על היות הבית מחובר למים ולביוב ועל סיווג הבית </w:t>
      </w:r>
      <w:r>
        <w:rPr>
          <w:rFonts w:ascii="David" w:hAnsi="David" w:hint="cs"/>
          <w:sz w:val="26"/>
          <w:szCs w:val="26"/>
          <w:rtl/>
        </w:rPr>
        <w:t xml:space="preserve">כמשמש </w:t>
      </w:r>
      <w:r w:rsidRPr="00C45120">
        <w:rPr>
          <w:rFonts w:ascii="David" w:hAnsi="David"/>
          <w:sz w:val="26"/>
          <w:szCs w:val="26"/>
          <w:rtl/>
        </w:rPr>
        <w:t>למגורים בתקופה זו על ידי עיריית תל אביב</w:t>
      </w:r>
      <w:r>
        <w:rPr>
          <w:rFonts w:ascii="David" w:hAnsi="David" w:hint="cs"/>
          <w:sz w:val="26"/>
          <w:szCs w:val="26"/>
          <w:rtl/>
        </w:rPr>
        <w:t>.</w:t>
      </w:r>
    </w:p>
    <w:p w:rsidR="00FA61E5" w:rsidRPr="00C45120" w:rsidRDefault="00FA61E5" w:rsidP="00FA61E5">
      <w:pPr>
        <w:spacing w:after="240" w:line="360" w:lineRule="auto"/>
        <w:ind w:left="792"/>
        <w:jc w:val="both"/>
        <w:rPr>
          <w:rFonts w:ascii="David" w:hAnsi="David"/>
          <w:sz w:val="26"/>
          <w:szCs w:val="26"/>
        </w:rPr>
      </w:pPr>
      <w:r>
        <w:rPr>
          <w:rFonts w:ascii="David" w:hAnsi="David" w:hint="cs"/>
          <w:sz w:val="26"/>
          <w:szCs w:val="26"/>
          <w:rtl/>
        </w:rPr>
        <w:t xml:space="preserve">לטענת העורר, </w:t>
      </w:r>
      <w:r w:rsidRPr="00A6005D">
        <w:rPr>
          <w:rFonts w:ascii="David" w:hAnsi="David"/>
          <w:sz w:val="26"/>
          <w:szCs w:val="26"/>
          <w:rtl/>
        </w:rPr>
        <w:t>לאחר מעבר נוסף על כלל המסמכים הרלוונטיים, התברר ל</w:t>
      </w:r>
      <w:r>
        <w:rPr>
          <w:rFonts w:ascii="David" w:hAnsi="David" w:hint="cs"/>
          <w:sz w:val="26"/>
          <w:szCs w:val="26"/>
          <w:rtl/>
        </w:rPr>
        <w:t>עורר</w:t>
      </w:r>
      <w:r w:rsidRPr="00A6005D">
        <w:rPr>
          <w:rFonts w:ascii="David" w:hAnsi="David"/>
          <w:sz w:val="26"/>
          <w:szCs w:val="26"/>
          <w:rtl/>
        </w:rPr>
        <w:t xml:space="preserve"> כי ככל הנראה בעקבות</w:t>
      </w:r>
      <w:r>
        <w:rPr>
          <w:rFonts w:ascii="David" w:hAnsi="David" w:hint="cs"/>
          <w:sz w:val="26"/>
          <w:szCs w:val="26"/>
          <w:rtl/>
        </w:rPr>
        <w:t xml:space="preserve"> </w:t>
      </w:r>
      <w:r w:rsidRPr="00A6005D">
        <w:rPr>
          <w:rFonts w:ascii="David" w:hAnsi="David"/>
          <w:sz w:val="26"/>
          <w:szCs w:val="26"/>
          <w:rtl/>
        </w:rPr>
        <w:t>השיפוץ כאמור, החלה עיריית תל אביב לחייב את הנכס גם בתשלום חשבונות מים.</w:t>
      </w:r>
      <w:r w:rsidRPr="00A6005D">
        <w:rPr>
          <w:rtl/>
        </w:rPr>
        <w:t xml:space="preserve"> </w:t>
      </w:r>
      <w:r w:rsidRPr="00A6005D">
        <w:rPr>
          <w:rFonts w:ascii="David" w:hAnsi="David"/>
          <w:sz w:val="26"/>
          <w:szCs w:val="26"/>
          <w:rtl/>
        </w:rPr>
        <w:t>עוד עולה מהחשבוניות בהתאם לכתוב עליהן, כי "ס</w:t>
      </w:r>
      <w:r>
        <w:rPr>
          <w:rFonts w:ascii="David" w:hAnsi="David" w:hint="cs"/>
          <w:sz w:val="26"/>
          <w:szCs w:val="26"/>
          <w:rtl/>
        </w:rPr>
        <w:t>י</w:t>
      </w:r>
      <w:r w:rsidRPr="00A6005D">
        <w:rPr>
          <w:rFonts w:ascii="David" w:hAnsi="David"/>
          <w:sz w:val="26"/>
          <w:szCs w:val="26"/>
          <w:rtl/>
        </w:rPr>
        <w:t>ווג</w:t>
      </w:r>
      <w:r>
        <w:rPr>
          <w:rFonts w:ascii="David" w:hAnsi="David" w:hint="cs"/>
          <w:sz w:val="26"/>
          <w:szCs w:val="26"/>
          <w:rtl/>
        </w:rPr>
        <w:t xml:space="preserve"> </w:t>
      </w:r>
      <w:r w:rsidRPr="00A6005D">
        <w:rPr>
          <w:rFonts w:ascii="David" w:hAnsi="David"/>
          <w:sz w:val="26"/>
          <w:szCs w:val="26"/>
          <w:rtl/>
        </w:rPr>
        <w:t>השימוש מגורים"</w:t>
      </w:r>
      <w:r>
        <w:rPr>
          <w:rFonts w:ascii="David" w:hAnsi="David" w:hint="cs"/>
          <w:sz w:val="26"/>
          <w:szCs w:val="26"/>
          <w:rtl/>
        </w:rPr>
        <w:t xml:space="preserve">. </w:t>
      </w:r>
      <w:r w:rsidRPr="00192F0E">
        <w:rPr>
          <w:rFonts w:ascii="David" w:hAnsi="David"/>
          <w:sz w:val="26"/>
          <w:szCs w:val="26"/>
          <w:rtl/>
        </w:rPr>
        <w:t>למען הגעה לחקר האמת ולמען פריסת התמונה בשלמותה בפני הועדה מבוקש</w:t>
      </w:r>
      <w:r>
        <w:rPr>
          <w:rFonts w:ascii="David" w:hAnsi="David" w:hint="cs"/>
          <w:sz w:val="26"/>
          <w:szCs w:val="26"/>
          <w:rtl/>
        </w:rPr>
        <w:t xml:space="preserve"> </w:t>
      </w:r>
      <w:r w:rsidRPr="00192F0E">
        <w:rPr>
          <w:rFonts w:ascii="David" w:hAnsi="David"/>
          <w:sz w:val="26"/>
          <w:szCs w:val="26"/>
          <w:rtl/>
        </w:rPr>
        <w:t>להגיש</w:t>
      </w:r>
      <w:r>
        <w:rPr>
          <w:rFonts w:ascii="David" w:hAnsi="David" w:hint="cs"/>
          <w:sz w:val="26"/>
          <w:szCs w:val="26"/>
          <w:rtl/>
        </w:rPr>
        <w:t xml:space="preserve"> את</w:t>
      </w:r>
      <w:r w:rsidRPr="00192F0E">
        <w:rPr>
          <w:rFonts w:ascii="David" w:hAnsi="David"/>
          <w:sz w:val="26"/>
          <w:szCs w:val="26"/>
          <w:rtl/>
        </w:rPr>
        <w:t xml:space="preserve"> </w:t>
      </w:r>
      <w:r>
        <w:rPr>
          <w:rFonts w:ascii="David" w:hAnsi="David" w:hint="cs"/>
          <w:sz w:val="26"/>
          <w:szCs w:val="26"/>
          <w:rtl/>
        </w:rPr>
        <w:t>ה</w:t>
      </w:r>
      <w:r>
        <w:rPr>
          <w:rFonts w:ascii="David" w:hAnsi="David"/>
          <w:sz w:val="26"/>
          <w:szCs w:val="26"/>
          <w:rtl/>
        </w:rPr>
        <w:t>חשבונות</w:t>
      </w:r>
      <w:r>
        <w:rPr>
          <w:rFonts w:ascii="David" w:hAnsi="David" w:hint="cs"/>
          <w:sz w:val="26"/>
          <w:szCs w:val="26"/>
          <w:rtl/>
        </w:rPr>
        <w:t xml:space="preserve">. </w:t>
      </w:r>
      <w:r w:rsidRPr="00192F0E">
        <w:rPr>
          <w:rFonts w:ascii="David" w:hAnsi="David"/>
          <w:sz w:val="26"/>
          <w:szCs w:val="26"/>
          <w:rtl/>
        </w:rPr>
        <w:t>משקיימת ראיה חשובה ומשמעותית, שיש בה כדי לתרום</w:t>
      </w:r>
      <w:r>
        <w:rPr>
          <w:rFonts w:ascii="David" w:hAnsi="David" w:hint="cs"/>
          <w:sz w:val="26"/>
          <w:szCs w:val="26"/>
          <w:rtl/>
        </w:rPr>
        <w:t xml:space="preserve"> </w:t>
      </w:r>
      <w:r w:rsidRPr="00192F0E">
        <w:rPr>
          <w:rFonts w:ascii="David" w:hAnsi="David"/>
          <w:sz w:val="26"/>
          <w:szCs w:val="26"/>
          <w:rtl/>
        </w:rPr>
        <w:t xml:space="preserve">ולסייע לחקר האמת, מן הראוי להתיר את הגשתה, גם אם קיים </w:t>
      </w:r>
      <w:r w:rsidRPr="00192F0E">
        <w:rPr>
          <w:rFonts w:ascii="David" w:hAnsi="David"/>
          <w:sz w:val="26"/>
          <w:szCs w:val="26"/>
          <w:rtl/>
        </w:rPr>
        <w:lastRenderedPageBreak/>
        <w:t>מחדל של בעל הדין בכך שלא</w:t>
      </w:r>
      <w:r>
        <w:rPr>
          <w:rFonts w:ascii="David" w:hAnsi="David" w:hint="cs"/>
          <w:sz w:val="26"/>
          <w:szCs w:val="26"/>
          <w:rtl/>
        </w:rPr>
        <w:t xml:space="preserve"> </w:t>
      </w:r>
      <w:r w:rsidRPr="00192F0E">
        <w:rPr>
          <w:rFonts w:ascii="David" w:hAnsi="David"/>
          <w:sz w:val="26"/>
          <w:szCs w:val="26"/>
          <w:rtl/>
        </w:rPr>
        <w:t>צורפה קודם לכן.</w:t>
      </w:r>
      <w:r>
        <w:rPr>
          <w:rFonts w:ascii="David" w:hAnsi="David" w:hint="cs"/>
          <w:sz w:val="26"/>
          <w:szCs w:val="26"/>
          <w:rtl/>
        </w:rPr>
        <w:t xml:space="preserve"> </w:t>
      </w:r>
      <w:r w:rsidRPr="00192F0E">
        <w:rPr>
          <w:rFonts w:ascii="David" w:hAnsi="David"/>
          <w:sz w:val="26"/>
          <w:szCs w:val="26"/>
          <w:rtl/>
        </w:rPr>
        <w:t>לא ייגרם כל נזק מצירוף הראיה בשלב זה, באשר מדובר בראיה אובייקטיבית אשר ממילא לא ניתן</w:t>
      </w:r>
      <w:r>
        <w:rPr>
          <w:rFonts w:ascii="David" w:hAnsi="David" w:hint="cs"/>
          <w:sz w:val="26"/>
          <w:szCs w:val="26"/>
          <w:rtl/>
        </w:rPr>
        <w:t xml:space="preserve"> </w:t>
      </w:r>
      <w:r w:rsidRPr="00192F0E">
        <w:rPr>
          <w:rFonts w:ascii="David" w:hAnsi="David"/>
          <w:sz w:val="26"/>
          <w:szCs w:val="26"/>
          <w:rtl/>
        </w:rPr>
        <w:t>לחלוק על האמור בה.</w:t>
      </w:r>
    </w:p>
    <w:p w:rsidR="00FA61E5" w:rsidRPr="00192F0E" w:rsidRDefault="00FA61E5" w:rsidP="00FA61E5">
      <w:pPr>
        <w:numPr>
          <w:ilvl w:val="0"/>
          <w:numId w:val="4"/>
        </w:numPr>
        <w:spacing w:after="240" w:line="360" w:lineRule="auto"/>
        <w:jc w:val="both"/>
        <w:rPr>
          <w:rFonts w:ascii="David" w:hAnsi="David"/>
          <w:sz w:val="26"/>
          <w:szCs w:val="26"/>
        </w:rPr>
      </w:pPr>
      <w:r w:rsidRPr="00192F0E">
        <w:rPr>
          <w:rFonts w:ascii="David" w:hAnsi="David" w:hint="cs"/>
          <w:sz w:val="26"/>
          <w:szCs w:val="26"/>
          <w:rtl/>
        </w:rPr>
        <w:t xml:space="preserve">לטענת העורר, </w:t>
      </w:r>
      <w:r w:rsidRPr="00192F0E">
        <w:rPr>
          <w:rFonts w:ascii="David" w:hAnsi="David"/>
          <w:sz w:val="26"/>
          <w:szCs w:val="26"/>
          <w:rtl/>
        </w:rPr>
        <w:t>השיקול העיקרי והחשוב ביותר האם לאפשר לעורר להגיש ראיות נוספות בשלב זה הוא</w:t>
      </w:r>
      <w:r w:rsidRPr="00192F0E">
        <w:rPr>
          <w:rFonts w:ascii="David" w:hAnsi="David" w:hint="cs"/>
          <w:sz w:val="26"/>
          <w:szCs w:val="26"/>
          <w:rtl/>
        </w:rPr>
        <w:t xml:space="preserve"> </w:t>
      </w:r>
      <w:r w:rsidRPr="00192F0E">
        <w:rPr>
          <w:rFonts w:ascii="David" w:hAnsi="David"/>
          <w:sz w:val="26"/>
          <w:szCs w:val="26"/>
          <w:rtl/>
        </w:rPr>
        <w:t>הרלוונטיות של הראיות אשר מבוקש להגישן, והיותן משמעותיות לצורך הגעה לחקר האמת.</w:t>
      </w:r>
      <w:r w:rsidRPr="00192F0E">
        <w:rPr>
          <w:rFonts w:ascii="David" w:hAnsi="David" w:hint="cs"/>
          <w:sz w:val="26"/>
          <w:szCs w:val="26"/>
          <w:rtl/>
        </w:rPr>
        <w:t xml:space="preserve"> אם</w:t>
      </w:r>
      <w:r w:rsidRPr="00192F0E">
        <w:rPr>
          <w:rFonts w:ascii="David" w:hAnsi="David"/>
          <w:sz w:val="26"/>
          <w:szCs w:val="26"/>
          <w:rtl/>
        </w:rPr>
        <w:t xml:space="preserve"> נגרם </w:t>
      </w:r>
      <w:r w:rsidRPr="00192F0E">
        <w:rPr>
          <w:rFonts w:ascii="David" w:hAnsi="David" w:hint="cs"/>
          <w:sz w:val="26"/>
          <w:szCs w:val="26"/>
          <w:rtl/>
        </w:rPr>
        <w:t>נזק</w:t>
      </w:r>
      <w:r w:rsidRPr="00192F0E">
        <w:rPr>
          <w:rFonts w:ascii="David" w:hAnsi="David"/>
          <w:sz w:val="26"/>
          <w:szCs w:val="26"/>
          <w:rtl/>
        </w:rPr>
        <w:t xml:space="preserve"> כזה או אחר מאי הצגתן בשלב קודם, הרי שניתן לתקנו באמצעות הטלת</w:t>
      </w:r>
      <w:r w:rsidRPr="00192F0E">
        <w:rPr>
          <w:rFonts w:ascii="David" w:hAnsi="David" w:hint="cs"/>
          <w:sz w:val="26"/>
          <w:szCs w:val="26"/>
          <w:rtl/>
        </w:rPr>
        <w:t xml:space="preserve"> </w:t>
      </w:r>
      <w:r w:rsidRPr="00192F0E">
        <w:rPr>
          <w:rFonts w:ascii="David" w:hAnsi="David"/>
          <w:sz w:val="26"/>
          <w:szCs w:val="26"/>
          <w:rtl/>
        </w:rPr>
        <w:t>הוצאות</w:t>
      </w:r>
      <w:r w:rsidRPr="00192F0E">
        <w:rPr>
          <w:rFonts w:ascii="David" w:hAnsi="David" w:hint="cs"/>
          <w:sz w:val="26"/>
          <w:szCs w:val="26"/>
          <w:rtl/>
        </w:rPr>
        <w:t>.</w:t>
      </w:r>
      <w:r w:rsidRPr="00192F0E">
        <w:rPr>
          <w:rtl/>
        </w:rPr>
        <w:t xml:space="preserve"> </w:t>
      </w:r>
      <w:r w:rsidRPr="00192F0E">
        <w:rPr>
          <w:rFonts w:ascii="David" w:hAnsi="David"/>
          <w:sz w:val="26"/>
          <w:szCs w:val="26"/>
          <w:rtl/>
        </w:rPr>
        <w:t>במצב דברים זה אין כל צורך לחקור את העורר על עצם הראיות הנוספות אשר מבוקש להגישן וניתן</w:t>
      </w:r>
      <w:r w:rsidRPr="00192F0E">
        <w:rPr>
          <w:rFonts w:ascii="David" w:hAnsi="David" w:hint="cs"/>
          <w:sz w:val="26"/>
          <w:szCs w:val="26"/>
          <w:rtl/>
        </w:rPr>
        <w:t xml:space="preserve"> </w:t>
      </w:r>
      <w:r w:rsidRPr="00192F0E">
        <w:rPr>
          <w:rFonts w:ascii="David" w:hAnsi="David"/>
          <w:sz w:val="26"/>
          <w:szCs w:val="26"/>
          <w:rtl/>
        </w:rPr>
        <w:t>לאפשר לצדדים להתייחס אליהן במסגרת הסיכומים, וממילא לא ייגרם כל נזק בגין התרת צירוף</w:t>
      </w:r>
      <w:r>
        <w:rPr>
          <w:rFonts w:ascii="David" w:hAnsi="David" w:hint="cs"/>
          <w:sz w:val="26"/>
          <w:szCs w:val="26"/>
          <w:rtl/>
        </w:rPr>
        <w:t xml:space="preserve"> </w:t>
      </w:r>
      <w:r w:rsidRPr="00192F0E">
        <w:rPr>
          <w:rFonts w:ascii="David" w:hAnsi="David"/>
          <w:sz w:val="26"/>
          <w:szCs w:val="26"/>
          <w:rtl/>
        </w:rPr>
        <w:t>המסמכים בשלב זה</w:t>
      </w:r>
      <w:r>
        <w:rPr>
          <w:rFonts w:ascii="David" w:hAnsi="David" w:hint="cs"/>
          <w:sz w:val="26"/>
          <w:szCs w:val="26"/>
          <w:rtl/>
        </w:rPr>
        <w:t>.</w:t>
      </w:r>
    </w:p>
    <w:p w:rsidR="00FA61E5" w:rsidRPr="001A79DD" w:rsidRDefault="00FA61E5" w:rsidP="00FA61E5">
      <w:pPr>
        <w:numPr>
          <w:ilvl w:val="0"/>
          <w:numId w:val="4"/>
        </w:numPr>
        <w:spacing w:after="240" w:line="360" w:lineRule="auto"/>
        <w:jc w:val="both"/>
        <w:rPr>
          <w:rFonts w:ascii="David" w:hAnsi="David"/>
          <w:sz w:val="26"/>
          <w:szCs w:val="26"/>
        </w:rPr>
      </w:pPr>
      <w:r w:rsidRPr="001A79DD">
        <w:rPr>
          <w:rFonts w:ascii="David" w:hAnsi="David" w:hint="cs"/>
          <w:sz w:val="26"/>
          <w:szCs w:val="26"/>
          <w:rtl/>
        </w:rPr>
        <w:t xml:space="preserve">המשיב מתנגד לבקשה. </w:t>
      </w:r>
      <w:r w:rsidRPr="001A79DD">
        <w:rPr>
          <w:rFonts w:ascii="David" w:hAnsi="David"/>
          <w:sz w:val="26"/>
          <w:szCs w:val="26"/>
          <w:rtl/>
        </w:rPr>
        <w:t>כלל ידוע הוא שאין מקום להוספת ראיות נוספות לאחר סיום שלב ההוכחות או במסגרת</w:t>
      </w:r>
      <w:r w:rsidRPr="001A79DD">
        <w:rPr>
          <w:rFonts w:ascii="David" w:hAnsi="David" w:hint="cs"/>
          <w:sz w:val="26"/>
          <w:szCs w:val="26"/>
          <w:rtl/>
        </w:rPr>
        <w:t xml:space="preserve"> </w:t>
      </w:r>
      <w:r w:rsidRPr="001A79DD">
        <w:rPr>
          <w:rFonts w:ascii="David" w:hAnsi="David"/>
          <w:sz w:val="26"/>
          <w:szCs w:val="26"/>
          <w:rtl/>
        </w:rPr>
        <w:t>הגשת סיכומי טענות הצדדים. הטעמים לקיום כלל זה ברורים וידועים ובהם מתן היתר</w:t>
      </w:r>
      <w:r w:rsidRPr="001A79DD">
        <w:rPr>
          <w:rFonts w:ascii="David" w:hAnsi="David" w:hint="cs"/>
          <w:sz w:val="26"/>
          <w:szCs w:val="26"/>
          <w:rtl/>
        </w:rPr>
        <w:t xml:space="preserve"> </w:t>
      </w:r>
      <w:r w:rsidRPr="001A79DD">
        <w:rPr>
          <w:rFonts w:ascii="David" w:hAnsi="David"/>
          <w:sz w:val="26"/>
          <w:szCs w:val="26"/>
          <w:rtl/>
        </w:rPr>
        <w:t>לצירוף ראיה לראשונה לאחר דיון ההוכחות, מונע מהמשיב את האפשרות לחקור בחקירה</w:t>
      </w:r>
      <w:r w:rsidRPr="001A79DD">
        <w:rPr>
          <w:rFonts w:ascii="David" w:hAnsi="David" w:hint="cs"/>
          <w:sz w:val="26"/>
          <w:szCs w:val="26"/>
          <w:rtl/>
        </w:rPr>
        <w:t xml:space="preserve"> </w:t>
      </w:r>
      <w:r w:rsidRPr="001A79DD">
        <w:rPr>
          <w:rFonts w:ascii="David" w:hAnsi="David"/>
          <w:sz w:val="26"/>
          <w:szCs w:val="26"/>
          <w:rtl/>
        </w:rPr>
        <w:t>נגדית בקשר למסמך, ומונע ממנו אפשרות להביא ראיות אחרות מטעמו כדי להפריך –</w:t>
      </w:r>
      <w:r>
        <w:rPr>
          <w:rFonts w:ascii="David" w:hAnsi="David" w:hint="cs"/>
          <w:sz w:val="26"/>
          <w:szCs w:val="26"/>
          <w:rtl/>
        </w:rPr>
        <w:t xml:space="preserve"> </w:t>
      </w:r>
      <w:r w:rsidRPr="001A79DD">
        <w:rPr>
          <w:rFonts w:ascii="David" w:hAnsi="David"/>
          <w:sz w:val="26"/>
          <w:szCs w:val="26"/>
          <w:rtl/>
        </w:rPr>
        <w:t>וודאי לתכלית "מקצה שיפורים"</w:t>
      </w:r>
      <w:r>
        <w:rPr>
          <w:rFonts w:ascii="David" w:hAnsi="David" w:hint="cs"/>
          <w:sz w:val="26"/>
          <w:szCs w:val="26"/>
          <w:rtl/>
        </w:rPr>
        <w:t xml:space="preserve">. </w:t>
      </w:r>
      <w:r w:rsidRPr="001A79DD">
        <w:rPr>
          <w:rFonts w:ascii="David" w:hAnsi="David"/>
          <w:sz w:val="26"/>
          <w:szCs w:val="26"/>
          <w:rtl/>
        </w:rPr>
        <w:t>הדברים נכונים ביתר שאת כאשר המסמכים שמבקשים להוסיפם לחומר הראיות אינם</w:t>
      </w:r>
      <w:r w:rsidRPr="001A79DD">
        <w:rPr>
          <w:rFonts w:ascii="David" w:hAnsi="David" w:hint="cs"/>
          <w:sz w:val="26"/>
          <w:szCs w:val="26"/>
          <w:rtl/>
        </w:rPr>
        <w:t xml:space="preserve"> </w:t>
      </w:r>
      <w:r>
        <w:rPr>
          <w:rFonts w:ascii="David" w:hAnsi="David"/>
          <w:sz w:val="26"/>
          <w:szCs w:val="26"/>
          <w:rtl/>
        </w:rPr>
        <w:t>חדשים וכן גם גילויים איננו חדש</w:t>
      </w:r>
      <w:r>
        <w:rPr>
          <w:rFonts w:ascii="David" w:hAnsi="David" w:hint="cs"/>
          <w:sz w:val="26"/>
          <w:szCs w:val="26"/>
          <w:rtl/>
        </w:rPr>
        <w:t>,</w:t>
      </w:r>
      <w:r w:rsidRPr="001A79DD">
        <w:rPr>
          <w:rFonts w:ascii="David" w:hAnsi="David"/>
          <w:sz w:val="26"/>
          <w:szCs w:val="26"/>
          <w:rtl/>
        </w:rPr>
        <w:t xml:space="preserve"> ובייחוד כאשר הם נערכו על ידי ה</w:t>
      </w:r>
      <w:r w:rsidRPr="001A79DD">
        <w:rPr>
          <w:rFonts w:ascii="David" w:hAnsi="David" w:hint="cs"/>
          <w:sz w:val="26"/>
          <w:szCs w:val="26"/>
          <w:rtl/>
        </w:rPr>
        <w:t>עורר</w:t>
      </w:r>
      <w:r w:rsidRPr="001A79DD">
        <w:rPr>
          <w:rFonts w:ascii="David" w:hAnsi="David"/>
          <w:sz w:val="26"/>
          <w:szCs w:val="26"/>
          <w:rtl/>
        </w:rPr>
        <w:t xml:space="preserve"> עצמו</w:t>
      </w:r>
      <w:r w:rsidRPr="001A79DD">
        <w:rPr>
          <w:rFonts w:ascii="David" w:hAnsi="David" w:hint="cs"/>
          <w:sz w:val="26"/>
          <w:szCs w:val="26"/>
          <w:rtl/>
        </w:rPr>
        <w:t>.</w:t>
      </w:r>
    </w:p>
    <w:p w:rsidR="00FA61E5" w:rsidRPr="000C3B7D" w:rsidRDefault="00FA61E5" w:rsidP="00FA61E5">
      <w:pPr>
        <w:numPr>
          <w:ilvl w:val="0"/>
          <w:numId w:val="4"/>
        </w:numPr>
        <w:spacing w:after="240" w:line="360" w:lineRule="auto"/>
        <w:jc w:val="both"/>
        <w:rPr>
          <w:rFonts w:ascii="David" w:hAnsi="David"/>
          <w:sz w:val="26"/>
          <w:szCs w:val="26"/>
        </w:rPr>
      </w:pPr>
      <w:r w:rsidRPr="000C3B7D">
        <w:rPr>
          <w:rFonts w:ascii="David" w:hAnsi="David" w:hint="cs"/>
          <w:sz w:val="26"/>
          <w:szCs w:val="26"/>
          <w:rtl/>
        </w:rPr>
        <w:t xml:space="preserve">ביחס להגשת הפרוטוקול, </w:t>
      </w:r>
      <w:r w:rsidRPr="000C3B7D">
        <w:rPr>
          <w:rFonts w:ascii="David" w:hAnsi="David"/>
          <w:sz w:val="26"/>
          <w:szCs w:val="26"/>
          <w:rtl/>
        </w:rPr>
        <w:t>לא תותר</w:t>
      </w:r>
      <w:r w:rsidRPr="000C3B7D">
        <w:rPr>
          <w:rFonts w:ascii="David" w:hAnsi="David" w:hint="cs"/>
          <w:sz w:val="26"/>
          <w:szCs w:val="26"/>
          <w:rtl/>
        </w:rPr>
        <w:t xml:space="preserve"> </w:t>
      </w:r>
      <w:r w:rsidRPr="000C3B7D">
        <w:rPr>
          <w:rFonts w:ascii="David" w:hAnsi="David"/>
          <w:sz w:val="26"/>
          <w:szCs w:val="26"/>
          <w:rtl/>
        </w:rPr>
        <w:t xml:space="preserve">הגשת ראיות הזמה </w:t>
      </w:r>
      <w:r>
        <w:rPr>
          <w:rFonts w:ascii="David" w:hAnsi="David"/>
          <w:sz w:val="26"/>
          <w:szCs w:val="26"/>
          <w:rtl/>
        </w:rPr>
        <w:t>על עניין שעל התובע הנטל להוכיחו</w:t>
      </w:r>
      <w:r w:rsidRPr="000C3B7D">
        <w:rPr>
          <w:rFonts w:ascii="David" w:hAnsi="David"/>
          <w:sz w:val="26"/>
          <w:szCs w:val="26"/>
          <w:rtl/>
        </w:rPr>
        <w:t xml:space="preserve"> אלא בנסיבות יוצאות דופן בהן</w:t>
      </w:r>
      <w:r>
        <w:rPr>
          <w:rFonts w:ascii="David" w:hAnsi="David" w:hint="cs"/>
          <w:sz w:val="26"/>
          <w:szCs w:val="26"/>
          <w:rtl/>
        </w:rPr>
        <w:t xml:space="preserve"> </w:t>
      </w:r>
      <w:r w:rsidRPr="000C3B7D">
        <w:rPr>
          <w:rFonts w:ascii="David" w:hAnsi="David"/>
          <w:sz w:val="26"/>
          <w:szCs w:val="26"/>
          <w:rtl/>
        </w:rPr>
        <w:t xml:space="preserve">הוא הופתע מטיעון או </w:t>
      </w:r>
      <w:r>
        <w:rPr>
          <w:rFonts w:ascii="David" w:hAnsi="David"/>
          <w:sz w:val="26"/>
          <w:szCs w:val="26"/>
          <w:rtl/>
        </w:rPr>
        <w:t>מראיות של הנתבע</w:t>
      </w:r>
      <w:r>
        <w:rPr>
          <w:rFonts w:ascii="David" w:hAnsi="David" w:hint="cs"/>
          <w:sz w:val="26"/>
          <w:szCs w:val="26"/>
          <w:rtl/>
        </w:rPr>
        <w:t>,</w:t>
      </w:r>
      <w:r>
        <w:rPr>
          <w:rFonts w:ascii="David" w:hAnsi="David"/>
          <w:sz w:val="26"/>
          <w:szCs w:val="26"/>
          <w:rtl/>
        </w:rPr>
        <w:t xml:space="preserve"> ולא כך בעניינ</w:t>
      </w:r>
      <w:r w:rsidRPr="000C3B7D">
        <w:rPr>
          <w:rFonts w:ascii="David" w:hAnsi="David"/>
          <w:sz w:val="26"/>
          <w:szCs w:val="26"/>
          <w:rtl/>
        </w:rPr>
        <w:t>נו</w:t>
      </w:r>
      <w:r>
        <w:rPr>
          <w:rFonts w:ascii="David" w:hAnsi="David" w:hint="cs"/>
          <w:sz w:val="26"/>
          <w:szCs w:val="26"/>
          <w:rtl/>
        </w:rPr>
        <w:t>.</w:t>
      </w:r>
    </w:p>
    <w:p w:rsidR="00FA61E5" w:rsidRPr="00E90FBE" w:rsidRDefault="00FA61E5" w:rsidP="00FA61E5">
      <w:pPr>
        <w:numPr>
          <w:ilvl w:val="0"/>
          <w:numId w:val="4"/>
        </w:numPr>
        <w:spacing w:after="240" w:line="360" w:lineRule="auto"/>
        <w:jc w:val="both"/>
        <w:rPr>
          <w:rFonts w:ascii="David" w:hAnsi="David"/>
          <w:sz w:val="26"/>
          <w:szCs w:val="26"/>
        </w:rPr>
      </w:pPr>
      <w:r w:rsidRPr="001A79DD">
        <w:rPr>
          <w:rFonts w:ascii="David" w:hAnsi="David" w:hint="cs"/>
          <w:sz w:val="26"/>
          <w:szCs w:val="26"/>
          <w:rtl/>
        </w:rPr>
        <w:t xml:space="preserve">ביחס לראיות על ביצוע השיפוץ, </w:t>
      </w:r>
      <w:r w:rsidRPr="001A79DD">
        <w:rPr>
          <w:rFonts w:ascii="David" w:hAnsi="David"/>
          <w:sz w:val="26"/>
          <w:szCs w:val="26"/>
          <w:rtl/>
        </w:rPr>
        <w:t>ה</w:t>
      </w:r>
      <w:r>
        <w:rPr>
          <w:rFonts w:ascii="David" w:hAnsi="David" w:hint="cs"/>
          <w:sz w:val="26"/>
          <w:szCs w:val="26"/>
          <w:rtl/>
        </w:rPr>
        <w:t>עורר</w:t>
      </w:r>
      <w:r w:rsidRPr="001A79DD">
        <w:rPr>
          <w:rFonts w:ascii="David" w:hAnsi="David"/>
          <w:sz w:val="26"/>
          <w:szCs w:val="26"/>
          <w:rtl/>
        </w:rPr>
        <w:t xml:space="preserve"> נשאל במספר</w:t>
      </w:r>
      <w:r w:rsidRPr="001A79DD">
        <w:rPr>
          <w:rFonts w:ascii="David" w:hAnsi="David" w:hint="cs"/>
          <w:sz w:val="26"/>
          <w:szCs w:val="26"/>
          <w:rtl/>
        </w:rPr>
        <w:t xml:space="preserve"> </w:t>
      </w:r>
      <w:r w:rsidRPr="001A79DD">
        <w:rPr>
          <w:rFonts w:ascii="David" w:hAnsi="David"/>
          <w:sz w:val="26"/>
          <w:szCs w:val="26"/>
          <w:rtl/>
        </w:rPr>
        <w:t>הזדמנויות שונות במסגרת חקירתו הנגדית האם הוא ביצע עבודות כלשהן בנכס וענה</w:t>
      </w:r>
      <w:r w:rsidRPr="001A79DD">
        <w:rPr>
          <w:rFonts w:ascii="David" w:hAnsi="David" w:hint="cs"/>
          <w:sz w:val="26"/>
          <w:szCs w:val="26"/>
          <w:rtl/>
        </w:rPr>
        <w:t xml:space="preserve"> בשלילה.</w:t>
      </w:r>
      <w:r w:rsidRPr="001A79DD">
        <w:rPr>
          <w:rtl/>
        </w:rPr>
        <w:t xml:space="preserve"> </w:t>
      </w:r>
      <w:r w:rsidRPr="001A79DD">
        <w:rPr>
          <w:rFonts w:ascii="David" w:hAnsi="David"/>
          <w:sz w:val="26"/>
          <w:szCs w:val="26"/>
          <w:rtl/>
        </w:rPr>
        <w:t>משבחר הכונס לנקוט בגרסה עובדתית מסוימת ולהסתיר עובדות</w:t>
      </w:r>
      <w:r w:rsidRPr="001A79DD">
        <w:rPr>
          <w:rFonts w:ascii="David" w:hAnsi="David" w:hint="cs"/>
          <w:sz w:val="26"/>
          <w:szCs w:val="26"/>
          <w:rtl/>
        </w:rPr>
        <w:t xml:space="preserve"> </w:t>
      </w:r>
      <w:r w:rsidRPr="001A79DD">
        <w:rPr>
          <w:rFonts w:ascii="David" w:hAnsi="David"/>
          <w:sz w:val="26"/>
          <w:szCs w:val="26"/>
          <w:rtl/>
        </w:rPr>
        <w:t>שבידיעתו משיקוליו שלו, ודאי שאין מקום להתיר לו להביא עתה ראיות</w:t>
      </w:r>
      <w:r>
        <w:rPr>
          <w:rFonts w:ascii="David" w:hAnsi="David" w:hint="cs"/>
          <w:sz w:val="26"/>
          <w:szCs w:val="26"/>
          <w:rtl/>
        </w:rPr>
        <w:t xml:space="preserve"> </w:t>
      </w:r>
      <w:r w:rsidRPr="001A79DD">
        <w:rPr>
          <w:rFonts w:ascii="David" w:hAnsi="David"/>
          <w:sz w:val="26"/>
          <w:szCs w:val="26"/>
          <w:rtl/>
        </w:rPr>
        <w:t>לביסוס גרסה הפוכה מטעמו</w:t>
      </w:r>
      <w:r>
        <w:rPr>
          <w:rFonts w:ascii="David" w:hAnsi="David" w:hint="cs"/>
          <w:sz w:val="26"/>
          <w:szCs w:val="26"/>
          <w:rtl/>
        </w:rPr>
        <w:t>.</w:t>
      </w:r>
    </w:p>
    <w:p w:rsidR="00FA61E5" w:rsidRPr="00E9196F" w:rsidRDefault="00FA61E5" w:rsidP="00FA61E5">
      <w:pPr>
        <w:spacing w:after="240" w:line="360" w:lineRule="auto"/>
        <w:jc w:val="both"/>
        <w:rPr>
          <w:rFonts w:ascii="David" w:hAnsi="David"/>
          <w:b/>
          <w:bCs/>
          <w:sz w:val="26"/>
          <w:szCs w:val="26"/>
          <w:u w:val="single"/>
        </w:rPr>
      </w:pPr>
      <w:r w:rsidRPr="00E9196F">
        <w:rPr>
          <w:rFonts w:ascii="David" w:hAnsi="David" w:hint="cs"/>
          <w:b/>
          <w:bCs/>
          <w:sz w:val="26"/>
          <w:szCs w:val="26"/>
          <w:u w:val="single"/>
          <w:rtl/>
        </w:rPr>
        <w:t>דיון והכרעה</w:t>
      </w:r>
    </w:p>
    <w:p w:rsidR="00FA61E5" w:rsidRDefault="00FA61E5" w:rsidP="00FA61E5">
      <w:pPr>
        <w:numPr>
          <w:ilvl w:val="0"/>
          <w:numId w:val="4"/>
        </w:numPr>
        <w:spacing w:after="240" w:line="360" w:lineRule="auto"/>
        <w:jc w:val="both"/>
        <w:rPr>
          <w:rFonts w:ascii="David" w:hAnsi="David"/>
          <w:sz w:val="26"/>
          <w:szCs w:val="26"/>
        </w:rPr>
      </w:pPr>
      <w:r>
        <w:rPr>
          <w:rFonts w:ascii="David" w:hAnsi="David" w:hint="cs"/>
          <w:sz w:val="26"/>
          <w:szCs w:val="26"/>
          <w:rtl/>
        </w:rPr>
        <w:t>כאמור, אין לקבל את הבקשה</w:t>
      </w:r>
      <w:r w:rsidRPr="004F4F22">
        <w:rPr>
          <w:rFonts w:ascii="David" w:hAnsi="David" w:hint="cs"/>
          <w:sz w:val="26"/>
          <w:szCs w:val="26"/>
          <w:rtl/>
        </w:rPr>
        <w:t>.</w:t>
      </w:r>
      <w:r>
        <w:rPr>
          <w:rFonts w:ascii="David" w:hAnsi="David" w:hint="cs"/>
          <w:sz w:val="26"/>
          <w:szCs w:val="26"/>
          <w:rtl/>
        </w:rPr>
        <w:t xml:space="preserve"> מדובר בהגשת ראיות באופן המהווה "מקצה שיפורים". אין מחלוקת שלא הייתה כל מניעה להגיש את כלל הראיות במועד, ונדמה שלא בכדי רק לקראת הגשת הסיכומים, מבקש העורר להגיש ראיות נוספות על מנת לחזק את עמדתו.</w:t>
      </w:r>
    </w:p>
    <w:p w:rsidR="00FA61E5" w:rsidRDefault="00FA61E5" w:rsidP="00FA61E5">
      <w:pPr>
        <w:numPr>
          <w:ilvl w:val="0"/>
          <w:numId w:val="4"/>
        </w:numPr>
        <w:spacing w:after="240" w:line="360" w:lineRule="auto"/>
        <w:jc w:val="both"/>
        <w:rPr>
          <w:rFonts w:ascii="David" w:hAnsi="David"/>
          <w:sz w:val="26"/>
          <w:szCs w:val="26"/>
        </w:rPr>
      </w:pPr>
      <w:r>
        <w:rPr>
          <w:rFonts w:ascii="David" w:hAnsi="David" w:hint="cs"/>
          <w:sz w:val="26"/>
          <w:szCs w:val="26"/>
          <w:rtl/>
        </w:rPr>
        <w:lastRenderedPageBreak/>
        <w:t>לא מצאתי כי הראיות בעלות משקל כה גדול שיש בו כדי לחרוג מהכלל בדבר הגשת הראיות "בחבילה אחת" ולהצדיק הגשתן כעת. לא מדובר ב"ראיות זהב" שמוכיחות באופן חד משמעי את טענת העורר, והן לכל היותר חלק נוסף ממארג ראיות נרחב שיש בו ללמד אם מדובר בדירת מגורים, אם לאו.</w:t>
      </w:r>
    </w:p>
    <w:p w:rsidR="00FA61E5" w:rsidRDefault="00FA61E5" w:rsidP="00FA61E5">
      <w:pPr>
        <w:numPr>
          <w:ilvl w:val="0"/>
          <w:numId w:val="4"/>
        </w:numPr>
        <w:spacing w:after="240" w:line="360" w:lineRule="auto"/>
        <w:jc w:val="both"/>
        <w:rPr>
          <w:rFonts w:ascii="David" w:hAnsi="David"/>
          <w:sz w:val="26"/>
          <w:szCs w:val="26"/>
        </w:rPr>
      </w:pPr>
      <w:r>
        <w:rPr>
          <w:rFonts w:ascii="David" w:hAnsi="David" w:hint="cs"/>
          <w:sz w:val="26"/>
          <w:szCs w:val="26"/>
          <w:rtl/>
        </w:rPr>
        <w:t>הגשת הראיות כעת גם תגרום לנזק ולסרבול דיוני, שכן למשיב הזכות לחקור את העורר ביחס לראיות, וכן להביא ראיות מטעמו ביחס לאותן ראיות. זאת, בשלב דיוני מאוחר, כאשר הבקשה הוגשה עשרה ימים בלבד טרם מועד הגשת הסיכומים מטעם העורר.</w:t>
      </w:r>
    </w:p>
    <w:p w:rsidR="00FA61E5" w:rsidRDefault="00FA61E5" w:rsidP="00FA61E5">
      <w:pPr>
        <w:numPr>
          <w:ilvl w:val="0"/>
          <w:numId w:val="4"/>
        </w:numPr>
        <w:spacing w:after="240" w:line="360" w:lineRule="auto"/>
        <w:jc w:val="both"/>
        <w:rPr>
          <w:rFonts w:ascii="David" w:hAnsi="David"/>
          <w:sz w:val="26"/>
          <w:szCs w:val="26"/>
        </w:rPr>
      </w:pPr>
      <w:r>
        <w:rPr>
          <w:rFonts w:ascii="David" w:hAnsi="David" w:hint="cs"/>
          <w:sz w:val="26"/>
          <w:szCs w:val="26"/>
          <w:rtl/>
        </w:rPr>
        <w:t>העורר טוען כי המשיב יכול להתייחס לראיות במסגרת סיכומיו. אני מוצאת קושי בטענה זו שכן העורר טוען באותה הנשימה כי מדובר בראיות רלוונטיות ביותר שמצדיקות את הגשתן באיחור. אך אם אכן כך, וודאי שלא ניתן למנוע מהמשיב את הזכות להשיב לאותן ראיות ולהגבילו להתייחסות אליהן אך במסגרת הסיכומים.</w:t>
      </w:r>
    </w:p>
    <w:p w:rsidR="00FA61E5" w:rsidRDefault="00FA61E5" w:rsidP="00FA61E5">
      <w:pPr>
        <w:numPr>
          <w:ilvl w:val="0"/>
          <w:numId w:val="4"/>
        </w:numPr>
        <w:spacing w:after="240" w:line="360" w:lineRule="auto"/>
        <w:jc w:val="both"/>
        <w:rPr>
          <w:rFonts w:ascii="David" w:hAnsi="David"/>
          <w:sz w:val="26"/>
          <w:szCs w:val="26"/>
        </w:rPr>
      </w:pPr>
      <w:r>
        <w:rPr>
          <w:rFonts w:ascii="David" w:hAnsi="David" w:hint="cs"/>
          <w:sz w:val="26"/>
          <w:szCs w:val="26"/>
          <w:rtl/>
        </w:rPr>
        <w:t>בהקשר זה אציין, כי אם אכן היה מדובר בראיות שיש בהן לשנות את פני התמונה, חזקה שהעורר היה מגישן במועד. שכן, כלל הראיות היו בחזקתו, וכפי שהוא מציין בסעיף 13 לבקשה ביחס לצירוף הראיות: "[</w:t>
      </w:r>
      <w:r w:rsidRPr="008635A2">
        <w:rPr>
          <w:rFonts w:ascii="David" w:hAnsi="David"/>
          <w:sz w:val="26"/>
          <w:szCs w:val="26"/>
          <w:rtl/>
        </w:rPr>
        <w:t>ו</w:t>
      </w:r>
      <w:r>
        <w:rPr>
          <w:rFonts w:ascii="David" w:hAnsi="David" w:hint="cs"/>
          <w:sz w:val="26"/>
          <w:szCs w:val="26"/>
          <w:rtl/>
        </w:rPr>
        <w:t>]</w:t>
      </w:r>
      <w:r w:rsidRPr="008635A2">
        <w:rPr>
          <w:rFonts w:ascii="David" w:hAnsi="David"/>
          <w:b/>
          <w:bCs/>
          <w:sz w:val="26"/>
          <w:szCs w:val="26"/>
          <w:rtl/>
        </w:rPr>
        <w:t>לאחר מעבר נוסף על כלל המסמכים הרלוונטיים, התברר לכונס</w:t>
      </w:r>
      <w:r>
        <w:rPr>
          <w:rFonts w:ascii="David" w:hAnsi="David" w:hint="cs"/>
          <w:b/>
          <w:bCs/>
          <w:sz w:val="26"/>
          <w:szCs w:val="26"/>
          <w:rtl/>
        </w:rPr>
        <w:t>...</w:t>
      </w:r>
      <w:r>
        <w:rPr>
          <w:rFonts w:ascii="David" w:hAnsi="David" w:hint="cs"/>
          <w:sz w:val="26"/>
          <w:szCs w:val="26"/>
          <w:rtl/>
        </w:rPr>
        <w:t xml:space="preserve">". אין זאת אלא שהעורר מבקש לשפר בדיעבד את ראיותיו, עשרה ימים בלבד טרם מועד הגשת הסיכומים מטעמו, ואין מקום לאפשר זאת בשלב זה (והשוו </w:t>
      </w:r>
      <w:r w:rsidRPr="00D61FD0">
        <w:rPr>
          <w:rFonts w:ascii="David" w:hAnsi="David"/>
          <w:sz w:val="26"/>
          <w:szCs w:val="26"/>
          <w:rtl/>
        </w:rPr>
        <w:t xml:space="preserve">רע"א 7294/23 </w:t>
      </w:r>
      <w:r w:rsidRPr="00D61FD0">
        <w:rPr>
          <w:rFonts w:ascii="David" w:hAnsi="David"/>
          <w:b/>
          <w:bCs/>
          <w:sz w:val="26"/>
          <w:szCs w:val="26"/>
          <w:rtl/>
        </w:rPr>
        <w:t>פלונית נ' בנק מרכנתיל דיסקונט בע"מ</w:t>
      </w:r>
      <w:r>
        <w:rPr>
          <w:rFonts w:ascii="David" w:hAnsi="David" w:hint="cs"/>
          <w:sz w:val="26"/>
          <w:szCs w:val="26"/>
          <w:rtl/>
        </w:rPr>
        <w:t>, פס' 11</w:t>
      </w:r>
      <w:r w:rsidRPr="00D61FD0">
        <w:rPr>
          <w:rFonts w:ascii="David" w:hAnsi="David"/>
          <w:sz w:val="26"/>
          <w:szCs w:val="26"/>
          <w:rtl/>
        </w:rPr>
        <w:t xml:space="preserve"> (5.11.2023)</w:t>
      </w:r>
      <w:r>
        <w:rPr>
          <w:rFonts w:ascii="David" w:hAnsi="David" w:hint="cs"/>
          <w:sz w:val="26"/>
          <w:szCs w:val="26"/>
          <w:rtl/>
        </w:rPr>
        <w:t>).</w:t>
      </w:r>
    </w:p>
    <w:p w:rsidR="00FA61E5" w:rsidRPr="00C33F95" w:rsidRDefault="00FA61E5" w:rsidP="00FA61E5">
      <w:pPr>
        <w:numPr>
          <w:ilvl w:val="0"/>
          <w:numId w:val="4"/>
        </w:numPr>
        <w:spacing w:after="240" w:line="360" w:lineRule="auto"/>
        <w:jc w:val="both"/>
        <w:rPr>
          <w:rFonts w:ascii="David" w:hAnsi="David"/>
          <w:sz w:val="26"/>
          <w:szCs w:val="26"/>
        </w:rPr>
      </w:pPr>
      <w:r w:rsidRPr="00C33F95">
        <w:rPr>
          <w:rFonts w:ascii="David" w:hAnsi="David" w:hint="cs"/>
          <w:sz w:val="26"/>
          <w:szCs w:val="26"/>
          <w:rtl/>
        </w:rPr>
        <w:t>בכל הנוגע לטענה כי הפרוטוקול מהווה ראיה מפריכה, תקנה 12(א) ל</w:t>
      </w:r>
      <w:r w:rsidRPr="00C33F95">
        <w:rPr>
          <w:rFonts w:ascii="David" w:hAnsi="David"/>
          <w:sz w:val="26"/>
          <w:szCs w:val="26"/>
          <w:rtl/>
        </w:rPr>
        <w:t xml:space="preserve">תקנות מיסוי מקרקעין (סדרי הדין בפני ועדות ערר), </w:t>
      </w:r>
      <w:r w:rsidRPr="00C33F95">
        <w:rPr>
          <w:rFonts w:ascii="David" w:hAnsi="David" w:hint="cs"/>
          <w:sz w:val="26"/>
          <w:szCs w:val="26"/>
          <w:rtl/>
        </w:rPr>
        <w:t>ה</w:t>
      </w:r>
      <w:r w:rsidRPr="00C33F95">
        <w:rPr>
          <w:rFonts w:ascii="David" w:hAnsi="David"/>
          <w:sz w:val="26"/>
          <w:szCs w:val="26"/>
          <w:rtl/>
        </w:rPr>
        <w:t>תשכ"ה-1965</w:t>
      </w:r>
      <w:r w:rsidRPr="00C33F95">
        <w:rPr>
          <w:rFonts w:ascii="David" w:hAnsi="David" w:hint="cs"/>
          <w:sz w:val="26"/>
          <w:szCs w:val="26"/>
          <w:rtl/>
        </w:rPr>
        <w:t>, קובעת, בין היתר, כי תקנה 66 ל</w:t>
      </w:r>
      <w:r w:rsidRPr="00C33F95">
        <w:rPr>
          <w:rFonts w:ascii="David" w:hAnsi="David"/>
          <w:sz w:val="26"/>
          <w:szCs w:val="26"/>
          <w:rtl/>
        </w:rPr>
        <w:t xml:space="preserve">תקנות סדר הדין האזרחי, </w:t>
      </w:r>
      <w:r w:rsidRPr="00C33F95">
        <w:rPr>
          <w:rFonts w:ascii="David" w:hAnsi="David" w:hint="cs"/>
          <w:sz w:val="26"/>
          <w:szCs w:val="26"/>
          <w:rtl/>
        </w:rPr>
        <w:t>ה</w:t>
      </w:r>
      <w:r w:rsidRPr="00C33F95">
        <w:rPr>
          <w:rFonts w:ascii="David" w:hAnsi="David"/>
          <w:sz w:val="26"/>
          <w:szCs w:val="26"/>
          <w:rtl/>
        </w:rPr>
        <w:t>תשע"ט-2018</w:t>
      </w:r>
      <w:r w:rsidRPr="00C33F95">
        <w:rPr>
          <w:rFonts w:ascii="David" w:hAnsi="David" w:hint="cs"/>
          <w:sz w:val="26"/>
          <w:szCs w:val="26"/>
          <w:rtl/>
        </w:rPr>
        <w:t>, תחול בערר.</w:t>
      </w:r>
    </w:p>
    <w:p w:rsidR="00FA61E5" w:rsidRDefault="00FA61E5" w:rsidP="00FA61E5">
      <w:pPr>
        <w:spacing w:after="240" w:line="360" w:lineRule="auto"/>
        <w:ind w:left="360"/>
        <w:jc w:val="both"/>
        <w:rPr>
          <w:rFonts w:ascii="David" w:hAnsi="David"/>
          <w:sz w:val="26"/>
          <w:szCs w:val="26"/>
        </w:rPr>
      </w:pPr>
      <w:r>
        <w:rPr>
          <w:rFonts w:ascii="David" w:hAnsi="David" w:hint="cs"/>
          <w:sz w:val="26"/>
          <w:szCs w:val="26"/>
          <w:rtl/>
        </w:rPr>
        <w:t>תקנה 66 קובעת כי "</w:t>
      </w:r>
      <w:r w:rsidRPr="0052116B">
        <w:rPr>
          <w:rFonts w:ascii="David" w:hAnsi="David"/>
          <w:b/>
          <w:bCs/>
          <w:sz w:val="26"/>
          <w:szCs w:val="26"/>
          <w:rtl/>
        </w:rPr>
        <w:t>באין קביעה אחרת המתחייבת מנסיבות העניין, בתחילה תבוא פרשת התביעה ולאחריה פרשת ההגנה; הבאת ראיות מפריכות טעונה רשות מבית המשפט</w:t>
      </w:r>
      <w:r>
        <w:rPr>
          <w:rFonts w:ascii="David" w:hAnsi="David" w:hint="cs"/>
          <w:sz w:val="26"/>
          <w:szCs w:val="26"/>
          <w:rtl/>
        </w:rPr>
        <w:t>".</w:t>
      </w:r>
    </w:p>
    <w:p w:rsidR="00FA61E5" w:rsidRDefault="00FA61E5" w:rsidP="00FA61E5">
      <w:pPr>
        <w:numPr>
          <w:ilvl w:val="0"/>
          <w:numId w:val="4"/>
        </w:numPr>
        <w:spacing w:after="240" w:line="360" w:lineRule="auto"/>
        <w:jc w:val="both"/>
        <w:rPr>
          <w:rFonts w:ascii="David" w:hAnsi="David"/>
          <w:sz w:val="26"/>
          <w:szCs w:val="26"/>
        </w:rPr>
      </w:pPr>
      <w:r>
        <w:rPr>
          <w:rFonts w:ascii="David" w:hAnsi="David" w:hint="cs"/>
          <w:sz w:val="26"/>
          <w:szCs w:val="26"/>
          <w:rtl/>
        </w:rPr>
        <w:t>בהתאם להלכה הפסוקה, "</w:t>
      </w:r>
      <w:r w:rsidRPr="0052116B">
        <w:rPr>
          <w:rFonts w:ascii="David" w:hAnsi="David"/>
          <w:b/>
          <w:bCs/>
          <w:sz w:val="26"/>
          <w:szCs w:val="26"/>
          <w:rtl/>
        </w:rPr>
        <w:t>הגשת ראיות מפריכות מטעם התובע לאחר שמיעת ראיות ההגנה – יתאפשר רק במקרים מיוחדים, שבהם נמצא כי תרומתה של הראיה לגילוי האמת רבה מאוד, וזאת גם אם בכך יפָּגעו כללי הפרוצדורה הרגילים</w:t>
      </w:r>
      <w:r w:rsidRPr="0052116B">
        <w:rPr>
          <w:rFonts w:ascii="David" w:hAnsi="David" w:hint="cs"/>
          <w:b/>
          <w:bCs/>
          <w:sz w:val="26"/>
          <w:szCs w:val="26"/>
          <w:rtl/>
        </w:rPr>
        <w:t>..</w:t>
      </w:r>
      <w:r w:rsidRPr="0052116B">
        <w:rPr>
          <w:rFonts w:ascii="David" w:hAnsi="David"/>
          <w:b/>
          <w:bCs/>
          <w:sz w:val="26"/>
          <w:szCs w:val="26"/>
          <w:rtl/>
        </w:rPr>
        <w:t>. כך למשל, כאשר ניכר כי התובע הופתע מראיות הנתבע או שלא היה יכול לחזותן מראש</w:t>
      </w:r>
      <w:r w:rsidRPr="0052116B">
        <w:rPr>
          <w:rFonts w:ascii="David" w:hAnsi="David" w:hint="cs"/>
          <w:b/>
          <w:bCs/>
          <w:sz w:val="26"/>
          <w:szCs w:val="26"/>
          <w:rtl/>
        </w:rPr>
        <w:t xml:space="preserve">... </w:t>
      </w:r>
      <w:r w:rsidRPr="0052116B">
        <w:rPr>
          <w:rFonts w:ascii="David" w:hAnsi="David"/>
          <w:b/>
          <w:bCs/>
          <w:sz w:val="26"/>
          <w:szCs w:val="26"/>
          <w:rtl/>
        </w:rPr>
        <w:t>מכל מקום, המובן מאליו הוא, כי הגשת ראיות הזמה לאחר שמיעת ראיות הגנה אינה זכות קנויה לתובע, ומדובר בעניין המסור לשיקול דעתו של בית המשפט</w:t>
      </w:r>
      <w:r w:rsidRPr="0052116B">
        <w:rPr>
          <w:rFonts w:ascii="David" w:hAnsi="David" w:hint="cs"/>
          <w:b/>
          <w:bCs/>
          <w:sz w:val="26"/>
          <w:szCs w:val="26"/>
          <w:rtl/>
        </w:rPr>
        <w:t xml:space="preserve">... </w:t>
      </w:r>
      <w:r w:rsidRPr="0052116B">
        <w:rPr>
          <w:rFonts w:ascii="David" w:hAnsi="David"/>
          <w:b/>
          <w:bCs/>
          <w:sz w:val="26"/>
          <w:szCs w:val="26"/>
          <w:rtl/>
        </w:rPr>
        <w:t xml:space="preserve">כללו של דבר: </w:t>
      </w:r>
      <w:r w:rsidRPr="0052116B">
        <w:rPr>
          <w:rFonts w:ascii="David" w:hAnsi="David"/>
          <w:b/>
          <w:bCs/>
          <w:sz w:val="26"/>
          <w:szCs w:val="26"/>
          <w:rtl/>
        </w:rPr>
        <w:lastRenderedPageBreak/>
        <w:t>על בעל הדין להביא את כלל ראיותיו 'בחבילה אחת' ולא טיפין טיפין; סטייה מדרך זו טעונה נטילת רשות מאת בית המשפט, וזו לא תינתן אלא במקרים מיוחדים, אם נמצא כי קיימת הצדקה לעשות כן</w:t>
      </w:r>
      <w:r>
        <w:rPr>
          <w:rFonts w:ascii="David" w:hAnsi="David" w:hint="cs"/>
          <w:sz w:val="26"/>
          <w:szCs w:val="26"/>
          <w:rtl/>
        </w:rPr>
        <w:t>" (</w:t>
      </w:r>
      <w:r w:rsidRPr="0052116B">
        <w:rPr>
          <w:rFonts w:ascii="David" w:hAnsi="David"/>
          <w:sz w:val="26"/>
          <w:szCs w:val="26"/>
          <w:rtl/>
        </w:rPr>
        <w:t xml:space="preserve">בג"ץ 62/22 </w:t>
      </w:r>
      <w:r w:rsidRPr="0052116B">
        <w:rPr>
          <w:rFonts w:ascii="David" w:hAnsi="David"/>
          <w:b/>
          <w:bCs/>
          <w:sz w:val="26"/>
          <w:szCs w:val="26"/>
          <w:rtl/>
        </w:rPr>
        <w:t>קלאסיק הוטל מנג'מנט בע"מ נ' בית הדין הארצי לעבודה</w:t>
      </w:r>
      <w:r>
        <w:rPr>
          <w:rFonts w:ascii="David" w:hAnsi="David" w:hint="cs"/>
          <w:sz w:val="26"/>
          <w:szCs w:val="26"/>
          <w:rtl/>
        </w:rPr>
        <w:t>, פס' 13</w:t>
      </w:r>
      <w:r w:rsidRPr="0052116B">
        <w:rPr>
          <w:rFonts w:ascii="David" w:hAnsi="David"/>
          <w:sz w:val="26"/>
          <w:szCs w:val="26"/>
          <w:rtl/>
        </w:rPr>
        <w:t xml:space="preserve"> (24.2.2022)</w:t>
      </w:r>
      <w:r>
        <w:rPr>
          <w:rFonts w:ascii="David" w:hAnsi="David" w:hint="cs"/>
          <w:sz w:val="26"/>
          <w:szCs w:val="26"/>
          <w:rtl/>
        </w:rPr>
        <w:t>.</w:t>
      </w:r>
    </w:p>
    <w:p w:rsidR="00FA61E5" w:rsidRDefault="00FA61E5" w:rsidP="00FA61E5">
      <w:pPr>
        <w:numPr>
          <w:ilvl w:val="0"/>
          <w:numId w:val="4"/>
        </w:numPr>
        <w:spacing w:after="240" w:line="360" w:lineRule="auto"/>
        <w:jc w:val="both"/>
        <w:rPr>
          <w:rFonts w:ascii="David" w:hAnsi="David"/>
          <w:sz w:val="26"/>
          <w:szCs w:val="26"/>
        </w:rPr>
      </w:pPr>
      <w:r>
        <w:rPr>
          <w:rFonts w:ascii="David" w:hAnsi="David" w:hint="cs"/>
          <w:sz w:val="26"/>
          <w:szCs w:val="26"/>
          <w:rtl/>
        </w:rPr>
        <w:t>בענייננו, לא מצאתי הצדקה להגיש את הפרוטוקול כראיה מפריכה ולא מצאתי כי התקיימו טעמים מיוחדים. לא הייתה כל מניעה להגיש את הפרוטוקול במועד הגשת הראיות. לא ניתן לקבל טענה כי עדותו של החייב הפתיעה את העורר, שכן עוד במסגרת תצהיר החייב שעליו נחקר (נספח 17 לתצהיר המשיב), הצהיר החייב בסעיף 3 כי "</w:t>
      </w:r>
      <w:r w:rsidRPr="0052116B">
        <w:rPr>
          <w:rFonts w:ascii="David" w:hAnsi="David" w:hint="cs"/>
          <w:b/>
          <w:bCs/>
          <w:sz w:val="26"/>
          <w:szCs w:val="26"/>
          <w:rtl/>
        </w:rPr>
        <w:t>מעולם לא ניתן טופס 4 לשתי הדירות ולא היה חיבור לתשתיות מים וחשמל...</w:t>
      </w:r>
      <w:r>
        <w:rPr>
          <w:rFonts w:ascii="David" w:hAnsi="David" w:hint="cs"/>
          <w:sz w:val="26"/>
          <w:szCs w:val="26"/>
          <w:rtl/>
        </w:rPr>
        <w:t>", וכן בסעיף 9 כי "</w:t>
      </w:r>
      <w:r w:rsidRPr="0052116B">
        <w:rPr>
          <w:rFonts w:ascii="David" w:hAnsi="David" w:hint="cs"/>
          <w:b/>
          <w:bCs/>
          <w:sz w:val="26"/>
          <w:szCs w:val="26"/>
          <w:rtl/>
        </w:rPr>
        <w:t>יש לציין שגרנו במקום ממש ברמה של 'אוהל' ואפילו חשמל ומים קיבלנו מהשכנים שעזרו לנו</w:t>
      </w:r>
      <w:r>
        <w:rPr>
          <w:rFonts w:ascii="David" w:hAnsi="David" w:hint="cs"/>
          <w:sz w:val="26"/>
          <w:szCs w:val="26"/>
          <w:rtl/>
        </w:rPr>
        <w:t>". על העורר היה להציג את הפרוטוקול עוד במסגרת החקירה הנגדית, על מנת לסתור את עדותו של החייב. מה גם שממילא יש להעניק משקל מוגבל לעדות החייב, ואין בהפרכת העדות תרומה מכרעת לגילוי האמת. לא על בסיס העדות לבדה יקום או ייפול דבר.</w:t>
      </w:r>
    </w:p>
    <w:p w:rsidR="00FA61E5" w:rsidRDefault="00FA61E5" w:rsidP="00FA61E5">
      <w:pPr>
        <w:numPr>
          <w:ilvl w:val="0"/>
          <w:numId w:val="4"/>
        </w:numPr>
        <w:spacing w:after="240" w:line="360" w:lineRule="auto"/>
        <w:jc w:val="both"/>
        <w:rPr>
          <w:rFonts w:ascii="David" w:hAnsi="David"/>
          <w:sz w:val="26"/>
          <w:szCs w:val="26"/>
        </w:rPr>
      </w:pPr>
      <w:r>
        <w:rPr>
          <w:rFonts w:ascii="David" w:hAnsi="David" w:hint="cs"/>
          <w:sz w:val="26"/>
          <w:szCs w:val="26"/>
          <w:rtl/>
        </w:rPr>
        <w:t>בכל הנוגע להסכם השיפוץ, קשה בעיניי טענת העורר כי רק בעקבות חקירתו של המשיב את העורר הוא "נזכר" בשיפוץ שערך. על העורר רובץ הנטל להוכיח כי הבית היה ראוי למגורים. משכך, היה עליו לעמוד כראוי על כלל ההיבטים העובדתיים ולהגיש את הראיה בדבר השיפוץ כחלק מראיותיו</w:t>
      </w:r>
      <w:r w:rsidRPr="002431AF">
        <w:rPr>
          <w:rFonts w:ascii="David" w:hAnsi="David" w:hint="cs"/>
          <w:sz w:val="26"/>
          <w:szCs w:val="26"/>
          <w:rtl/>
        </w:rPr>
        <w:t xml:space="preserve"> </w:t>
      </w:r>
      <w:r>
        <w:rPr>
          <w:rFonts w:ascii="David" w:hAnsi="David" w:hint="cs"/>
          <w:sz w:val="26"/>
          <w:szCs w:val="26"/>
          <w:rtl/>
        </w:rPr>
        <w:t xml:space="preserve">מלכתחילה. כמו כן, אף אם אניח כי החקירה היא שהעלתה את הצורך בהגשת הראיות, היה על העורר להגיש את בקשתו מיד לאחריה, ולא להמתין כשלושה חודשים, עשרה ימים טרם הגשת הסיכומים. </w:t>
      </w:r>
    </w:p>
    <w:p w:rsidR="00FA61E5" w:rsidRPr="00A5712C" w:rsidRDefault="00FA61E5" w:rsidP="00FA61E5">
      <w:pPr>
        <w:numPr>
          <w:ilvl w:val="0"/>
          <w:numId w:val="4"/>
        </w:numPr>
        <w:spacing w:after="240" w:line="360" w:lineRule="auto"/>
        <w:jc w:val="both"/>
        <w:rPr>
          <w:rFonts w:ascii="David" w:hAnsi="David"/>
          <w:sz w:val="26"/>
          <w:szCs w:val="26"/>
        </w:rPr>
      </w:pPr>
      <w:r w:rsidRPr="00775914">
        <w:rPr>
          <w:rFonts w:ascii="David" w:hAnsi="David"/>
          <w:sz w:val="26"/>
          <w:szCs w:val="26"/>
          <w:rtl/>
        </w:rPr>
        <w:t>סיכומם של דברים,</w:t>
      </w:r>
      <w:r w:rsidRPr="00775914">
        <w:rPr>
          <w:rFonts w:ascii="David" w:hAnsi="David" w:hint="cs"/>
          <w:sz w:val="26"/>
          <w:szCs w:val="26"/>
          <w:rtl/>
        </w:rPr>
        <w:t xml:space="preserve"> הבקשה </w:t>
      </w:r>
      <w:r>
        <w:rPr>
          <w:rFonts w:ascii="David" w:hAnsi="David" w:hint="cs"/>
          <w:sz w:val="26"/>
          <w:szCs w:val="26"/>
          <w:rtl/>
        </w:rPr>
        <w:t>נדחית.</w:t>
      </w:r>
      <w:r w:rsidRPr="00775914">
        <w:rPr>
          <w:rFonts w:ascii="David" w:hAnsi="David"/>
          <w:sz w:val="26"/>
          <w:szCs w:val="26"/>
          <w:rtl/>
        </w:rPr>
        <w:t xml:space="preserve"> </w:t>
      </w:r>
      <w:r>
        <w:rPr>
          <w:rFonts w:ascii="David" w:hAnsi="David" w:hint="cs"/>
          <w:sz w:val="26"/>
          <w:szCs w:val="26"/>
          <w:rtl/>
        </w:rPr>
        <w:t>העורר יישא בהוצאות המשיב</w:t>
      </w:r>
      <w:r w:rsidRPr="00775914">
        <w:rPr>
          <w:rFonts w:ascii="David" w:hAnsi="David" w:hint="cs"/>
          <w:sz w:val="26"/>
          <w:szCs w:val="26"/>
          <w:rtl/>
        </w:rPr>
        <w:t xml:space="preserve"> בסך של </w:t>
      </w:r>
      <w:r>
        <w:rPr>
          <w:rFonts w:ascii="David" w:hAnsi="David" w:hint="cs"/>
          <w:sz w:val="26"/>
          <w:szCs w:val="26"/>
          <w:rtl/>
        </w:rPr>
        <w:t>5,000 ש"ח</w:t>
      </w:r>
      <w:r w:rsidRPr="00775914">
        <w:rPr>
          <w:rFonts w:ascii="David" w:hAnsi="David" w:hint="cs"/>
          <w:sz w:val="26"/>
          <w:szCs w:val="26"/>
          <w:rtl/>
        </w:rPr>
        <w:t>.</w:t>
      </w:r>
    </w:p>
    <w:p w:rsidR="0002177A" w:rsidRPr="00FA61E5" w:rsidRDefault="0002177A" w:rsidP="00420E12">
      <w:pPr>
        <w:spacing w:line="360" w:lineRule="auto"/>
        <w:rPr>
          <w:rFonts w:ascii="Arial" w:hAnsi="Arial"/>
          <w:rtl/>
        </w:rPr>
      </w:pPr>
    </w:p>
    <w:p w:rsidR="008450E5" w:rsidRPr="008450E5" w:rsidRDefault="008450E5" w:rsidP="008450E5">
      <w:pPr>
        <w:spacing w:line="360" w:lineRule="auto"/>
        <w:jc w:val="both"/>
        <w:rPr>
          <w:rFonts w:ascii="David" w:hAnsi="David"/>
          <w:b/>
          <w:bCs/>
          <w:noProof/>
          <w:sz w:val="28"/>
          <w:szCs w:val="28"/>
          <w:u w:val="single"/>
          <w:rtl/>
        </w:rPr>
      </w:pPr>
      <w:r w:rsidRPr="008450E5">
        <w:rPr>
          <w:rFonts w:ascii="David" w:hAnsi="David"/>
          <w:b/>
          <w:bCs/>
          <w:noProof/>
          <w:sz w:val="28"/>
          <w:szCs w:val="28"/>
          <w:u w:val="single"/>
          <w:rtl/>
        </w:rPr>
        <w:t>רו"ח צבי פרידמן, חבר הוועדה</w:t>
      </w:r>
    </w:p>
    <w:p w:rsidR="008450E5" w:rsidRDefault="008450E5" w:rsidP="00C010D4">
      <w:pPr>
        <w:spacing w:line="360" w:lineRule="auto"/>
        <w:jc w:val="both"/>
        <w:rPr>
          <w:rFonts w:ascii="David" w:hAnsi="David"/>
          <w:noProof/>
          <w:sz w:val="26"/>
          <w:szCs w:val="26"/>
          <w:rtl/>
        </w:rPr>
      </w:pPr>
      <w:r w:rsidRPr="008450E5">
        <w:rPr>
          <w:rFonts w:ascii="David" w:hAnsi="David"/>
          <w:noProof/>
          <w:sz w:val="26"/>
          <w:szCs w:val="26"/>
          <w:rtl/>
        </w:rPr>
        <w:t xml:space="preserve">אני </w:t>
      </w:r>
      <w:r w:rsidR="00C010D4">
        <w:rPr>
          <w:rFonts w:ascii="David" w:hAnsi="David" w:hint="cs"/>
          <w:noProof/>
          <w:sz w:val="26"/>
          <w:szCs w:val="26"/>
          <w:rtl/>
        </w:rPr>
        <w:t>מסכים</w:t>
      </w:r>
      <w:r w:rsidRPr="008450E5">
        <w:rPr>
          <w:rFonts w:ascii="David" w:hAnsi="David"/>
          <w:noProof/>
          <w:sz w:val="26"/>
          <w:szCs w:val="26"/>
          <w:rtl/>
        </w:rPr>
        <w:t>.</w:t>
      </w:r>
    </w:p>
    <w:p w:rsidR="002B7603" w:rsidRDefault="002B7603" w:rsidP="00C010D4">
      <w:pPr>
        <w:spacing w:line="360" w:lineRule="auto"/>
        <w:jc w:val="both"/>
        <w:rPr>
          <w:rFonts w:ascii="David" w:hAnsi="David"/>
          <w:b/>
          <w:bCs/>
          <w:noProof/>
          <w:sz w:val="28"/>
          <w:szCs w:val="28"/>
          <w:u w:val="single"/>
          <w:rtl/>
        </w:rPr>
      </w:pPr>
    </w:p>
    <w:p w:rsidR="00C010D4" w:rsidRPr="008450E5" w:rsidRDefault="00C010D4" w:rsidP="00C010D4">
      <w:pPr>
        <w:spacing w:line="360" w:lineRule="auto"/>
        <w:jc w:val="both"/>
        <w:rPr>
          <w:rFonts w:ascii="David" w:hAnsi="David"/>
          <w:b/>
          <w:bCs/>
          <w:noProof/>
          <w:sz w:val="28"/>
          <w:szCs w:val="28"/>
          <w:u w:val="single"/>
          <w:rtl/>
        </w:rPr>
      </w:pPr>
      <w:r w:rsidRPr="008450E5">
        <w:rPr>
          <w:rFonts w:ascii="David" w:hAnsi="David"/>
          <w:b/>
          <w:bCs/>
          <w:noProof/>
          <w:sz w:val="28"/>
          <w:szCs w:val="28"/>
          <w:u w:val="single"/>
          <w:rtl/>
        </w:rPr>
        <w:t xml:space="preserve">רו"ח </w:t>
      </w:r>
      <w:r>
        <w:rPr>
          <w:rFonts w:ascii="David" w:hAnsi="David" w:hint="cs"/>
          <w:b/>
          <w:bCs/>
          <w:noProof/>
          <w:sz w:val="28"/>
          <w:szCs w:val="28"/>
          <w:u w:val="single"/>
          <w:rtl/>
        </w:rPr>
        <w:t>יהושע ביליצקי</w:t>
      </w:r>
      <w:r w:rsidRPr="008450E5">
        <w:rPr>
          <w:rFonts w:ascii="David" w:hAnsi="David"/>
          <w:b/>
          <w:bCs/>
          <w:noProof/>
          <w:sz w:val="28"/>
          <w:szCs w:val="28"/>
          <w:u w:val="single"/>
          <w:rtl/>
        </w:rPr>
        <w:t>, חבר הוועדה</w:t>
      </w:r>
    </w:p>
    <w:p w:rsidR="00C010D4" w:rsidRPr="008450E5" w:rsidRDefault="00C010D4" w:rsidP="00F613C3">
      <w:pPr>
        <w:spacing w:line="360" w:lineRule="auto"/>
        <w:jc w:val="both"/>
        <w:rPr>
          <w:rFonts w:ascii="David" w:hAnsi="David"/>
          <w:noProof/>
          <w:sz w:val="26"/>
          <w:szCs w:val="26"/>
          <w:rtl/>
        </w:rPr>
      </w:pPr>
      <w:r w:rsidRPr="008450E5">
        <w:rPr>
          <w:rFonts w:ascii="David" w:hAnsi="David"/>
          <w:noProof/>
          <w:sz w:val="26"/>
          <w:szCs w:val="26"/>
          <w:rtl/>
        </w:rPr>
        <w:t xml:space="preserve">אני </w:t>
      </w:r>
      <w:r w:rsidR="00F613C3">
        <w:rPr>
          <w:rFonts w:ascii="David" w:hAnsi="David" w:hint="cs"/>
          <w:noProof/>
          <w:sz w:val="26"/>
          <w:szCs w:val="26"/>
          <w:rtl/>
        </w:rPr>
        <w:t>מסכים</w:t>
      </w:r>
      <w:r w:rsidRPr="008450E5">
        <w:rPr>
          <w:rFonts w:ascii="David" w:hAnsi="David"/>
          <w:noProof/>
          <w:sz w:val="26"/>
          <w:szCs w:val="26"/>
          <w:rtl/>
        </w:rPr>
        <w:t>.</w:t>
      </w:r>
    </w:p>
    <w:p w:rsidR="00C010D4" w:rsidRPr="008450E5" w:rsidRDefault="00C010D4" w:rsidP="008450E5">
      <w:pPr>
        <w:spacing w:line="360" w:lineRule="auto"/>
        <w:jc w:val="both"/>
        <w:rPr>
          <w:rFonts w:ascii="David" w:hAnsi="David"/>
          <w:noProof/>
          <w:sz w:val="26"/>
          <w:szCs w:val="26"/>
          <w:rtl/>
        </w:rPr>
      </w:pPr>
    </w:p>
    <w:p w:rsidR="008450E5" w:rsidRPr="008450E5" w:rsidRDefault="008450E5" w:rsidP="008450E5">
      <w:pPr>
        <w:spacing w:line="360" w:lineRule="auto"/>
        <w:jc w:val="both"/>
        <w:rPr>
          <w:rFonts w:ascii="David" w:hAnsi="David"/>
          <w:b/>
          <w:bCs/>
          <w:noProof/>
          <w:sz w:val="28"/>
          <w:szCs w:val="28"/>
          <w:u w:val="single"/>
          <w:rtl/>
        </w:rPr>
      </w:pPr>
      <w:r w:rsidRPr="008450E5">
        <w:rPr>
          <w:rFonts w:ascii="David" w:hAnsi="David"/>
          <w:b/>
          <w:bCs/>
          <w:noProof/>
          <w:sz w:val="28"/>
          <w:szCs w:val="28"/>
          <w:u w:val="single"/>
          <w:rtl/>
        </w:rPr>
        <w:t xml:space="preserve">לפיכך, הוחלט כאמור בחוות דעתה של יו"ר הוועדה, כב' השופטת ירדנה סרוסי. </w:t>
      </w:r>
    </w:p>
    <w:p w:rsidR="0002177A" w:rsidRDefault="0002177A" w:rsidP="00420E12">
      <w:pPr>
        <w:spacing w:line="360" w:lineRule="auto"/>
        <w:jc w:val="both"/>
        <w:rPr>
          <w:rFonts w:ascii="Arial" w:hAnsi="Arial"/>
          <w:rtl/>
        </w:rPr>
      </w:pPr>
    </w:p>
    <w:p w:rsidR="0002177A" w:rsidRDefault="00375F47">
      <w:pPr>
        <w:spacing w:line="360" w:lineRule="auto"/>
        <w:jc w:val="both"/>
        <w:rPr>
          <w:rFonts w:ascii="Arial" w:hAnsi="Arial"/>
          <w:rtl/>
        </w:rPr>
      </w:pPr>
      <w:r>
        <w:rPr>
          <w:rFonts w:ascii="Arial" w:hAnsi="Arial"/>
          <w:rtl/>
        </w:rPr>
        <w:t>נית</w:t>
      </w:r>
      <w:r>
        <w:rPr>
          <w:rFonts w:ascii="Arial" w:hAnsi="Arial" w:hint="cs"/>
          <w:rtl/>
        </w:rPr>
        <w:t>נה</w:t>
      </w:r>
      <w:r>
        <w:rPr>
          <w:rFonts w:ascii="Arial" w:hAnsi="Arial"/>
          <w:rtl/>
        </w:rPr>
        <w:t xml:space="preserve"> היום,  </w:t>
      </w:r>
      <w:sdt>
        <w:sdtPr>
          <w:rPr>
            <w:rtl/>
          </w:rPr>
          <w:alias w:val="1455"/>
          <w:tag w:val="1455"/>
          <w:id w:val="1424607196"/>
          <w:text w:multiLine="1"/>
        </w:sdtPr>
        <w:sdtEndPr/>
        <w:sdtContent>
          <w:r>
            <w:rPr>
              <w:rFonts w:ascii="Arial" w:hAnsi="Arial"/>
              <w:rtl/>
            </w:rPr>
            <w:t>כ"ב כסלו תשפ"ה</w:t>
          </w:r>
        </w:sdtContent>
      </w:sdt>
      <w:r>
        <w:rPr>
          <w:rFonts w:ascii="Arial" w:hAnsi="Arial"/>
          <w:rtl/>
        </w:rPr>
        <w:t xml:space="preserve">, </w:t>
      </w:r>
      <w:sdt>
        <w:sdtPr>
          <w:rPr>
            <w:rtl/>
          </w:rPr>
          <w:alias w:val="1456"/>
          <w:tag w:val="1456"/>
          <w:id w:val="-1331525173"/>
          <w:text w:multiLine="1"/>
        </w:sdtPr>
        <w:sdtEndPr/>
        <w:sdtContent>
          <w:r>
            <w:rPr>
              <w:rFonts w:ascii="Arial" w:hAnsi="Arial"/>
              <w:rtl/>
            </w:rPr>
            <w:t>23 דצמבר 2024</w:t>
          </w:r>
        </w:sdtContent>
      </w:sdt>
      <w:r>
        <w:rPr>
          <w:rFonts w:ascii="Arial" w:hAnsi="Arial"/>
          <w:rtl/>
        </w:rPr>
        <w:t>, בהעדר הצדדים.</w:t>
      </w:r>
    </w:p>
    <w:p w:rsidR="0002177A" w:rsidRDefault="00375F47" w:rsidP="009C1537">
      <w:pPr>
        <w:tabs>
          <w:tab w:val="left" w:pos="2553"/>
        </w:tabs>
        <w:spacing w:line="360" w:lineRule="auto"/>
        <w:jc w:val="center"/>
        <w:rPr>
          <w:rtl/>
        </w:rPr>
      </w:pPr>
      <w:r>
        <w:rPr>
          <w:rFonts w:hint="cs"/>
          <w:rtl/>
        </w:rPr>
        <w:lastRenderedPageBreak/>
        <w:tab/>
      </w:r>
      <w:sdt>
        <w:sdtPr>
          <w:rPr>
            <w:rFonts w:hint="cs"/>
            <w:rtl/>
          </w:rPr>
          <w:alias w:val="2045"/>
          <w:tag w:val="2045"/>
          <w:id w:val="1701280785"/>
          <w:placeholder>
            <w:docPart w:val="647C5F5A17CE48D5BFFBFC7D0687C4D8"/>
          </w:placeholder>
          <w:showingPlcHdr/>
          <w:text w:multiLine="1"/>
        </w:sdtPr>
        <w:sdtEndPr/>
        <w:sdtContent>
          <w:r w:rsidR="009C1537">
            <w:rPr>
              <w:rStyle w:val="aa"/>
              <w:rFonts w:hint="cs"/>
              <w:rtl/>
            </w:rPr>
            <w:t xml:space="preserve">    </w:t>
          </w:r>
        </w:sdtContent>
      </w:sdt>
      <w:r w:rsidR="009C1537">
        <w:rPr>
          <w:rtl/>
        </w:rPr>
        <w:t xml:space="preserve"> </w:t>
      </w:r>
    </w:p>
    <w:p w:rsidR="0002177A" w:rsidRDefault="0002177A">
      <w:pPr>
        <w:rPr>
          <w:rFonts w:ascii="Arial" w:hAnsi="Arial"/>
          <w:rtl/>
        </w:rPr>
      </w:pPr>
    </w:p>
    <w:p w:rsidR="0002177A" w:rsidRDefault="0002177A">
      <w:pPr>
        <w:rPr>
          <w:rFonts w:ascii="Arial" w:hAnsi="Arial"/>
          <w:rtl/>
        </w:rPr>
      </w:pPr>
    </w:p>
    <w:p w:rsidR="0002177A" w:rsidRDefault="0002177A">
      <w:pPr>
        <w:rPr>
          <w:rFonts w:ascii="Arial" w:hAnsi="Arial"/>
          <w:rtl/>
        </w:rPr>
      </w:pPr>
    </w:p>
    <w:p w:rsidR="0002177A" w:rsidRDefault="0002177A">
      <w:pPr>
        <w:rPr>
          <w:rFonts w:ascii="Arial" w:hAnsi="Arial"/>
          <w:rtl/>
        </w:rPr>
      </w:pPr>
    </w:p>
    <w:sdt>
      <w:sdtPr>
        <w:rPr>
          <w:rtl/>
        </w:rPr>
        <w:alias w:val="MergeField"/>
        <w:tag w:val="1237"/>
        <w:id w:val="1898233435"/>
      </w:sdtPr>
      <w:sdtEndPr/>
      <w:sdtContent>
        <w:p w:rsidR="003738CD" w:rsidRDefault="007D5ED6">
          <w:r>
            <w:rPr>
              <w:noProof/>
            </w:rPr>
            <w:drawing>
              <wp:inline distT="0" distB="0" distL="0" distR="0" wp14:editId="50D07946">
                <wp:extent cx="1371600" cy="7715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71600" cy="771525"/>
                        </a:xfrm>
                        <a:prstGeom prst="rect">
                          <a:avLst/>
                        </a:prstGeom>
                      </pic:spPr>
                    </pic:pic>
                  </a:graphicData>
                </a:graphic>
              </wp:inline>
            </w:drawing>
          </w:r>
        </w:p>
      </w:sdtContent>
    </w:sdt>
    <w:sectPr w:rsidR="003738CD" w:rsidSect="00E67EFF">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77A" w:rsidRDefault="00375F47">
      <w:r>
        <w:separator/>
      </w:r>
    </w:p>
  </w:endnote>
  <w:endnote w:type="continuationSeparator" w:id="0">
    <w:p w:rsidR="0002177A" w:rsidRDefault="00375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CE68C8">
    <w:pPr>
      <w:pStyle w:val="a4"/>
      <w:framePr w:wrap="around" w:vAnchor="text" w:hAnchor="text" w:xAlign="center" w:y="1"/>
      <w:rPr>
        <w:rStyle w:val="a9"/>
      </w:rPr>
    </w:pPr>
    <w:r>
      <w:rPr>
        <w:rStyle w:val="a9"/>
        <w:rtl/>
      </w:rPr>
      <w:fldChar w:fldCharType="begin"/>
    </w:r>
    <w:r w:rsidR="00375F47">
      <w:rPr>
        <w:rStyle w:val="a9"/>
      </w:rPr>
      <w:instrText xml:space="preserve">PAGE  </w:instrText>
    </w:r>
    <w:r>
      <w:rPr>
        <w:rStyle w:val="a9"/>
        <w:rtl/>
      </w:rPr>
      <w:fldChar w:fldCharType="end"/>
    </w:r>
  </w:p>
  <w:p w:rsidR="0002177A" w:rsidRDefault="0002177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375F47">
    <w:pPr>
      <w:pStyle w:val="a4"/>
      <w:jc w:val="center"/>
    </w:pPr>
    <w:r>
      <w:rPr>
        <w:rtl/>
      </w:rPr>
      <w:t>עמוד</w:t>
    </w:r>
    <w:r>
      <w:t xml:space="preserve"> </w:t>
    </w:r>
    <w:r w:rsidR="00CE68C8">
      <w:fldChar w:fldCharType="begin"/>
    </w:r>
    <w:r>
      <w:instrText xml:space="preserve"> PAGE </w:instrText>
    </w:r>
    <w:r w:rsidR="00CE68C8">
      <w:fldChar w:fldCharType="separate"/>
    </w:r>
    <w:r w:rsidR="0089059F">
      <w:rPr>
        <w:noProof/>
        <w:rtl/>
      </w:rPr>
      <w:t>1</w:t>
    </w:r>
    <w:r w:rsidR="00CE68C8">
      <w:fldChar w:fldCharType="end"/>
    </w:r>
    <w:r>
      <w:t xml:space="preserve"> </w:t>
    </w:r>
    <w:r>
      <w:rPr>
        <w:rtl/>
      </w:rPr>
      <w:t>מתוך</w:t>
    </w:r>
    <w:r>
      <w:t xml:space="preserve"> </w:t>
    </w:r>
    <w:r w:rsidR="00CE68C8">
      <w:fldChar w:fldCharType="begin"/>
    </w:r>
    <w:r>
      <w:instrText xml:space="preserve"> NUMPAGES </w:instrText>
    </w:r>
    <w:r w:rsidR="00CE68C8">
      <w:fldChar w:fldCharType="separate"/>
    </w:r>
    <w:r w:rsidR="0089059F">
      <w:rPr>
        <w:noProof/>
        <w:rtl/>
      </w:rPr>
      <w:t>6</w:t>
    </w:r>
    <w:r w:rsidR="00CE68C8">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50E5" w:rsidRDefault="008450E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77A" w:rsidRDefault="00375F47">
      <w:r>
        <w:separator/>
      </w:r>
    </w:p>
  </w:footnote>
  <w:footnote w:type="continuationSeparator" w:id="0">
    <w:p w:rsidR="0002177A" w:rsidRDefault="00375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50E5" w:rsidRDefault="008450E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375F47">
    <w:pPr>
      <w:pStyle w:val="a3"/>
      <w:jc w:val="center"/>
      <w:rPr>
        <w:rFonts w:cs="FrankRuehl"/>
        <w:sz w:val="28"/>
        <w:szCs w:val="28"/>
        <w:rtl/>
      </w:rPr>
    </w:pPr>
    <w:r>
      <w:rPr>
        <w:rFonts w:cs="Times New Roman" w:hint="cs"/>
        <w:b/>
        <w:bCs/>
        <w:sz w:val="26"/>
        <w:szCs w:val="28"/>
        <w:rtl/>
      </w:rPr>
      <w:t xml:space="preserve"> </w:t>
    </w:r>
    <w:r w:rsidR="009B3B23">
      <w:rPr>
        <w:rFonts w:cs="FrankRuehl"/>
        <w:noProof/>
        <w:sz w:val="28"/>
        <w:szCs w:val="28"/>
      </w:rPr>
      <w:drawing>
        <wp:inline distT="0" distB="0" distL="0" distR="0">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3769"/>
      <w:gridCol w:w="1023"/>
      <w:gridCol w:w="3515"/>
    </w:tblGrid>
    <w:tr w:rsidR="0002177A">
      <w:trPr>
        <w:trHeight w:hRule="exact" w:val="418"/>
        <w:jc w:val="center"/>
      </w:trPr>
      <w:tc>
        <w:tcPr>
          <w:tcW w:w="8721" w:type="dxa"/>
          <w:gridSpan w:val="3"/>
        </w:tcPr>
        <w:p w:rsidR="0002177A" w:rsidRPr="00420E12" w:rsidRDefault="008F1ABF">
          <w:pPr>
            <w:pStyle w:val="a3"/>
            <w:jc w:val="center"/>
            <w:rPr>
              <w:rFonts w:ascii="Tahoma" w:hAnsi="Tahoma"/>
              <w:b/>
              <w:bCs/>
              <w:color w:val="000080"/>
              <w:sz w:val="32"/>
              <w:szCs w:val="32"/>
              <w:rtl/>
            </w:rPr>
          </w:pPr>
          <w:r w:rsidRPr="00420E12">
            <w:rPr>
              <w:rFonts w:ascii="Tahoma" w:hAnsi="Tahoma" w:hint="cs"/>
              <w:b/>
              <w:bCs/>
              <w:color w:val="000080"/>
              <w:sz w:val="32"/>
              <w:szCs w:val="32"/>
              <w:rtl/>
            </w:rPr>
            <w:t>בית המשפט המחוזי בתל אביב - יפו</w:t>
          </w:r>
        </w:p>
      </w:tc>
    </w:tr>
    <w:tr w:rsidR="0002177A">
      <w:trPr>
        <w:trHeight w:val="337"/>
        <w:jc w:val="center"/>
      </w:trPr>
      <w:tc>
        <w:tcPr>
          <w:tcW w:w="3979" w:type="dxa"/>
        </w:tcPr>
        <w:p w:rsidR="0002177A" w:rsidRDefault="0002177A">
          <w:pPr>
            <w:rPr>
              <w:b/>
              <w:bCs/>
              <w:sz w:val="26"/>
              <w:szCs w:val="26"/>
              <w:rtl/>
            </w:rPr>
          </w:pPr>
        </w:p>
      </w:tc>
      <w:tc>
        <w:tcPr>
          <w:tcW w:w="1070" w:type="dxa"/>
        </w:tcPr>
        <w:p w:rsidR="0002177A" w:rsidRDefault="0002177A">
          <w:pPr>
            <w:pStyle w:val="a3"/>
            <w:jc w:val="center"/>
            <w:rPr>
              <w:b/>
              <w:bCs/>
              <w:sz w:val="26"/>
              <w:szCs w:val="26"/>
              <w:rtl/>
            </w:rPr>
          </w:pPr>
        </w:p>
      </w:tc>
      <w:sdt>
        <w:sdtPr>
          <w:rPr>
            <w:rtl/>
          </w:rPr>
          <w:alias w:val="1456"/>
          <w:tag w:val="1456"/>
          <w:id w:val="1081642394"/>
          <w:text/>
        </w:sdtPr>
        <w:sdtEndPr/>
        <w:sdtContent>
          <w:tc>
            <w:tcPr>
              <w:tcW w:w="3672" w:type="dxa"/>
            </w:tcPr>
            <w:p w:rsidR="0002177A" w:rsidRDefault="00375F47">
              <w:pPr>
                <w:pStyle w:val="a3"/>
                <w:jc w:val="center"/>
                <w:rPr>
                  <w:b/>
                  <w:bCs/>
                  <w:sz w:val="26"/>
                  <w:szCs w:val="26"/>
                  <w:rtl/>
                </w:rPr>
              </w:pPr>
              <w:r>
                <w:rPr>
                  <w:b/>
                  <w:bCs/>
                  <w:sz w:val="26"/>
                  <w:szCs w:val="26"/>
                  <w:rtl/>
                </w:rPr>
                <w:t>23 דצמבר 2024</w:t>
              </w:r>
            </w:p>
          </w:tc>
        </w:sdtContent>
      </w:sdt>
    </w:tr>
    <w:tr w:rsidR="0002177A">
      <w:trPr>
        <w:trHeight w:val="337"/>
        <w:jc w:val="center"/>
      </w:trPr>
      <w:tc>
        <w:tcPr>
          <w:tcW w:w="8721" w:type="dxa"/>
          <w:gridSpan w:val="3"/>
        </w:tcPr>
        <w:p w:rsidR="0002177A" w:rsidRDefault="0089059F">
          <w:pPr>
            <w:rPr>
              <w:b/>
              <w:bCs/>
              <w:sz w:val="26"/>
              <w:szCs w:val="26"/>
              <w:rtl/>
            </w:rPr>
          </w:pPr>
          <w:sdt>
            <w:sdtPr>
              <w:rPr>
                <w:rtl/>
              </w:rPr>
              <w:alias w:val="1170"/>
              <w:tag w:val="1170"/>
              <w:id w:val="-1592229859"/>
              <w:text w:multiLine="1"/>
            </w:sdtPr>
            <w:sdtEndPr/>
            <w:sdtContent>
              <w:r w:rsidR="00E67EFF">
                <w:rPr>
                  <w:b/>
                  <w:bCs/>
                  <w:sz w:val="26"/>
                  <w:szCs w:val="26"/>
                  <w:rtl/>
                </w:rPr>
                <w:t>ו"ע</w:t>
              </w:r>
            </w:sdtContent>
          </w:sdt>
          <w:r w:rsidR="00375F47">
            <w:rPr>
              <w:rFonts w:hint="cs"/>
              <w:b/>
              <w:bCs/>
              <w:sz w:val="26"/>
              <w:szCs w:val="26"/>
              <w:rtl/>
            </w:rPr>
            <w:t xml:space="preserve"> </w:t>
          </w:r>
          <w:bookmarkStart w:id="0" w:name="_GoBack"/>
          <w:sdt>
            <w:sdtPr>
              <w:rPr>
                <w:rtl/>
              </w:rPr>
              <w:alias w:val="1171"/>
              <w:tag w:val="1171"/>
              <w:id w:val="739214549"/>
              <w:text w:multiLine="1"/>
            </w:sdtPr>
            <w:sdtEndPr/>
            <w:sdtContent>
              <w:r w:rsidR="00E67EFF">
                <w:rPr>
                  <w:b/>
                  <w:bCs/>
                  <w:sz w:val="26"/>
                  <w:szCs w:val="26"/>
                  <w:rtl/>
                </w:rPr>
                <w:t>10100-07-22</w:t>
              </w:r>
            </w:sdtContent>
          </w:sdt>
          <w:bookmarkEnd w:id="0"/>
          <w:r w:rsidR="00375F47">
            <w:rPr>
              <w:rFonts w:hint="cs"/>
              <w:b/>
              <w:bCs/>
              <w:sz w:val="26"/>
              <w:szCs w:val="26"/>
              <w:rtl/>
            </w:rPr>
            <w:t xml:space="preserve"> </w:t>
          </w:r>
          <w:sdt>
            <w:sdtPr>
              <w:rPr>
                <w:rtl/>
              </w:rPr>
              <w:alias w:val="1172"/>
              <w:tag w:val="1172"/>
              <w:id w:val="946972896"/>
              <w:text w:multiLine="1"/>
            </w:sdtPr>
            <w:sdtEndPr/>
            <w:sdtContent>
              <w:r w:rsidR="00E67EFF">
                <w:rPr>
                  <w:b/>
                  <w:bCs/>
                  <w:sz w:val="26"/>
                  <w:szCs w:val="26"/>
                  <w:rtl/>
                </w:rPr>
                <w:t>אוריון נ' מנהל מיסוי מקרקעין תל אביב</w:t>
              </w:r>
            </w:sdtContent>
          </w:sdt>
        </w:p>
        <w:p w:rsidR="0002177A" w:rsidRDefault="0002177A">
          <w:pPr>
            <w:rPr>
              <w:rtl/>
            </w:rPr>
          </w:pPr>
        </w:p>
      </w:tc>
    </w:tr>
  </w:tbl>
  <w:p w:rsidR="0002177A" w:rsidRDefault="0002177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50E5" w:rsidRDefault="008450E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D6ADA"/>
    <w:multiLevelType w:val="hybridMultilevel"/>
    <w:tmpl w:val="F0BE64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75A1C15"/>
    <w:multiLevelType w:val="hybridMultilevel"/>
    <w:tmpl w:val="0D663D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7A571CE"/>
    <w:multiLevelType w:val="hybridMultilevel"/>
    <w:tmpl w:val="65B65C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1EF40F3"/>
    <w:multiLevelType w:val="multilevel"/>
    <w:tmpl w:val="F7CCE868"/>
    <w:lvl w:ilvl="0">
      <w:start w:val="1"/>
      <w:numFmt w:val="decimal"/>
      <w:lvlText w:val="%1."/>
      <w:lvlJc w:val="left"/>
      <w:pPr>
        <w:ind w:left="360" w:hanging="360"/>
      </w:pPr>
      <w:rPr>
        <w:rFonts w:ascii="David" w:hAnsi="David" w:cs="David" w:hint="default"/>
        <w:b w:val="0"/>
        <w:bCs w:val="0"/>
        <w:sz w:val="26"/>
        <w:szCs w:val="26"/>
        <w:lang w:val="en-U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71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77A"/>
    <w:rsid w:val="0002177A"/>
    <w:rsid w:val="002B7603"/>
    <w:rsid w:val="002F2B2B"/>
    <w:rsid w:val="003045BC"/>
    <w:rsid w:val="00347822"/>
    <w:rsid w:val="003738CD"/>
    <w:rsid w:val="00375F47"/>
    <w:rsid w:val="0040244A"/>
    <w:rsid w:val="00420E12"/>
    <w:rsid w:val="005179AC"/>
    <w:rsid w:val="005C2A9A"/>
    <w:rsid w:val="00694645"/>
    <w:rsid w:val="006A5FC7"/>
    <w:rsid w:val="006C0C79"/>
    <w:rsid w:val="006E4AD7"/>
    <w:rsid w:val="00703346"/>
    <w:rsid w:val="007B43A7"/>
    <w:rsid w:val="007D5ED6"/>
    <w:rsid w:val="008168D9"/>
    <w:rsid w:val="008450E5"/>
    <w:rsid w:val="0089059F"/>
    <w:rsid w:val="008B1013"/>
    <w:rsid w:val="008F1ABF"/>
    <w:rsid w:val="008F3A58"/>
    <w:rsid w:val="00964459"/>
    <w:rsid w:val="009B3B23"/>
    <w:rsid w:val="009C1537"/>
    <w:rsid w:val="009F2788"/>
    <w:rsid w:val="00A054F6"/>
    <w:rsid w:val="00A33606"/>
    <w:rsid w:val="00A8202D"/>
    <w:rsid w:val="00AC7E32"/>
    <w:rsid w:val="00BA470F"/>
    <w:rsid w:val="00BA65E6"/>
    <w:rsid w:val="00C010D4"/>
    <w:rsid w:val="00C13A12"/>
    <w:rsid w:val="00C93CEB"/>
    <w:rsid w:val="00CE68C8"/>
    <w:rsid w:val="00D26926"/>
    <w:rsid w:val="00DF03B1"/>
    <w:rsid w:val="00E444F8"/>
    <w:rsid w:val="00E64429"/>
    <w:rsid w:val="00E67EFF"/>
    <w:rsid w:val="00E9196F"/>
    <w:rsid w:val="00EC5735"/>
    <w:rsid w:val="00EF0A4D"/>
    <w:rsid w:val="00F613C3"/>
    <w:rsid w:val="00F658B2"/>
    <w:rsid w:val="00FA61E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71361"/>
    <o:shapelayout v:ext="edit">
      <o:idmap v:ext="edit" data="1"/>
    </o:shapelayout>
  </w:shapeDefaults>
  <w:decimalSymbol w:val="."/>
  <w:listSeparator w:val=","/>
  <w15:docId w15:val="{6170260A-08C9-4B16-837F-300810950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2CEF"/>
    <w:pPr>
      <w:bidi/>
    </w:pPr>
    <w:rPr>
      <w:rFonts w:cs="David"/>
      <w:sz w:val="24"/>
      <w:szCs w:val="24"/>
    </w:rPr>
  </w:style>
  <w:style w:type="paragraph" w:styleId="4">
    <w:name w:val="heading 4"/>
    <w:basedOn w:val="a"/>
    <w:next w:val="a"/>
    <w:qFormat/>
    <w:rsid w:val="00832CEF"/>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32CEF"/>
    <w:pPr>
      <w:tabs>
        <w:tab w:val="center" w:pos="4153"/>
        <w:tab w:val="right" w:pos="8306"/>
      </w:tabs>
    </w:pPr>
  </w:style>
  <w:style w:type="paragraph" w:styleId="a4">
    <w:name w:val="footer"/>
    <w:basedOn w:val="a"/>
    <w:rsid w:val="00832CEF"/>
    <w:pPr>
      <w:tabs>
        <w:tab w:val="center" w:pos="4153"/>
        <w:tab w:val="right" w:pos="8306"/>
      </w:tabs>
    </w:pPr>
  </w:style>
  <w:style w:type="table" w:styleId="a5">
    <w:name w:val="Table Grid"/>
    <w:basedOn w:val="a1"/>
    <w:rsid w:val="00832CEF"/>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832CEF"/>
    <w:rPr>
      <w:sz w:val="16"/>
      <w:szCs w:val="16"/>
    </w:rPr>
  </w:style>
  <w:style w:type="paragraph" w:styleId="a7">
    <w:name w:val="annotation text"/>
    <w:basedOn w:val="a"/>
    <w:semiHidden/>
    <w:rsid w:val="00832CEF"/>
    <w:rPr>
      <w:rFonts w:cs="Times New Roman"/>
    </w:rPr>
  </w:style>
  <w:style w:type="paragraph" w:styleId="a8">
    <w:name w:val="Balloon Text"/>
    <w:basedOn w:val="a"/>
    <w:semiHidden/>
    <w:rsid w:val="00832CEF"/>
    <w:rPr>
      <w:rFonts w:ascii="Tahoma" w:hAnsi="Tahoma" w:cs="Tahoma"/>
      <w:sz w:val="16"/>
      <w:szCs w:val="16"/>
    </w:rPr>
  </w:style>
  <w:style w:type="character" w:styleId="a9">
    <w:name w:val="page number"/>
    <w:basedOn w:val="a0"/>
    <w:rsid w:val="00832CEF"/>
  </w:style>
  <w:style w:type="character" w:styleId="aa">
    <w:name w:val="Placeholder Text"/>
    <w:basedOn w:val="a0"/>
    <w:uiPriority w:val="99"/>
    <w:semiHidden/>
    <w:rsid w:val="009C153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051752">
      <w:bodyDiv w:val="1"/>
      <w:marLeft w:val="0"/>
      <w:marRight w:val="0"/>
      <w:marTop w:val="0"/>
      <w:marBottom w:val="0"/>
      <w:divBdr>
        <w:top w:val="none" w:sz="0" w:space="0" w:color="auto"/>
        <w:left w:val="none" w:sz="0" w:space="0" w:color="auto"/>
        <w:bottom w:val="none" w:sz="0" w:space="0" w:color="auto"/>
        <w:right w:val="none" w:sz="0" w:space="0" w:color="auto"/>
      </w:divBdr>
    </w:div>
    <w:div w:id="500393631">
      <w:bodyDiv w:val="1"/>
      <w:marLeft w:val="0"/>
      <w:marRight w:val="0"/>
      <w:marTop w:val="0"/>
      <w:marBottom w:val="0"/>
      <w:divBdr>
        <w:top w:val="none" w:sz="0" w:space="0" w:color="auto"/>
        <w:left w:val="none" w:sz="0" w:space="0" w:color="auto"/>
        <w:bottom w:val="none" w:sz="0" w:space="0" w:color="auto"/>
        <w:right w:val="none" w:sz="0" w:space="0" w:color="auto"/>
      </w:divBdr>
    </w:div>
    <w:div w:id="977877198">
      <w:bodyDiv w:val="1"/>
      <w:marLeft w:val="0"/>
      <w:marRight w:val="0"/>
      <w:marTop w:val="0"/>
      <w:marBottom w:val="0"/>
      <w:divBdr>
        <w:top w:val="none" w:sz="0" w:space="0" w:color="auto"/>
        <w:left w:val="none" w:sz="0" w:space="0" w:color="auto"/>
        <w:bottom w:val="none" w:sz="0" w:space="0" w:color="auto"/>
        <w:right w:val="none" w:sz="0" w:space="0" w:color="auto"/>
      </w:divBdr>
    </w:div>
    <w:div w:id="1029526998">
      <w:bodyDiv w:val="1"/>
      <w:marLeft w:val="0"/>
      <w:marRight w:val="0"/>
      <w:marTop w:val="0"/>
      <w:marBottom w:val="0"/>
      <w:divBdr>
        <w:top w:val="none" w:sz="0" w:space="0" w:color="auto"/>
        <w:left w:val="none" w:sz="0" w:space="0" w:color="auto"/>
        <w:bottom w:val="none" w:sz="0" w:space="0" w:color="auto"/>
        <w:right w:val="none" w:sz="0" w:space="0" w:color="auto"/>
      </w:divBdr>
    </w:div>
    <w:div w:id="1097292481">
      <w:bodyDiv w:val="1"/>
      <w:marLeft w:val="0"/>
      <w:marRight w:val="0"/>
      <w:marTop w:val="0"/>
      <w:marBottom w:val="0"/>
      <w:divBdr>
        <w:top w:val="none" w:sz="0" w:space="0" w:color="auto"/>
        <w:left w:val="none" w:sz="0" w:space="0" w:color="auto"/>
        <w:bottom w:val="none" w:sz="0" w:space="0" w:color="auto"/>
        <w:right w:val="none" w:sz="0" w:space="0" w:color="auto"/>
      </w:divBdr>
    </w:div>
    <w:div w:id="1292905156">
      <w:bodyDiv w:val="1"/>
      <w:marLeft w:val="0"/>
      <w:marRight w:val="0"/>
      <w:marTop w:val="0"/>
      <w:marBottom w:val="0"/>
      <w:divBdr>
        <w:top w:val="none" w:sz="0" w:space="0" w:color="auto"/>
        <w:left w:val="none" w:sz="0" w:space="0" w:color="auto"/>
        <w:bottom w:val="none" w:sz="0" w:space="0" w:color="auto"/>
        <w:right w:val="none" w:sz="0" w:space="0" w:color="auto"/>
      </w:divBdr>
    </w:div>
    <w:div w:id="1601794305">
      <w:bodyDiv w:val="1"/>
      <w:marLeft w:val="0"/>
      <w:marRight w:val="0"/>
      <w:marTop w:val="0"/>
      <w:marBottom w:val="0"/>
      <w:divBdr>
        <w:top w:val="none" w:sz="0" w:space="0" w:color="auto"/>
        <w:left w:val="none" w:sz="0" w:space="0" w:color="auto"/>
        <w:bottom w:val="none" w:sz="0" w:space="0" w:color="auto"/>
        <w:right w:val="none" w:sz="0" w:space="0" w:color="auto"/>
      </w:divBdr>
    </w:div>
    <w:div w:id="1728138782">
      <w:bodyDiv w:val="1"/>
      <w:marLeft w:val="0"/>
      <w:marRight w:val="0"/>
      <w:marTop w:val="0"/>
      <w:marBottom w:val="0"/>
      <w:divBdr>
        <w:top w:val="none" w:sz="0" w:space="0" w:color="auto"/>
        <w:left w:val="none" w:sz="0" w:space="0" w:color="auto"/>
        <w:bottom w:val="none" w:sz="0" w:space="0" w:color="auto"/>
        <w:right w:val="none" w:sz="0" w:space="0" w:color="auto"/>
      </w:divBdr>
    </w:div>
    <w:div w:id="1935476001">
      <w:bodyDiv w:val="1"/>
      <w:marLeft w:val="0"/>
      <w:marRight w:val="0"/>
      <w:marTop w:val="0"/>
      <w:marBottom w:val="0"/>
      <w:divBdr>
        <w:top w:val="none" w:sz="0" w:space="0" w:color="auto"/>
        <w:left w:val="none" w:sz="0" w:space="0" w:color="auto"/>
        <w:bottom w:val="none" w:sz="0" w:space="0" w:color="auto"/>
        <w:right w:val="none" w:sz="0" w:space="0" w:color="auto"/>
      </w:divBdr>
    </w:div>
    <w:div w:id="2119449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47C5F5A17CE48D5BFFBFC7D0687C4D8"/>
        <w:category>
          <w:name w:val="כללי"/>
          <w:gallery w:val="placeholder"/>
        </w:category>
        <w:types>
          <w:type w:val="bbPlcHdr"/>
        </w:types>
        <w:behaviors>
          <w:behavior w:val="content"/>
        </w:behaviors>
        <w:guid w:val="{FD49B9D8-ABA6-45B6-AF0C-DE34E3603AA7}"/>
      </w:docPartPr>
      <w:docPartBody>
        <w:p w:rsidR="00200AFE" w:rsidRDefault="00D85A54" w:rsidP="00D85A54">
          <w:pPr>
            <w:pStyle w:val="647C5F5A17CE48D5BFFBFC7D0687C4D83"/>
          </w:pPr>
          <w:r>
            <w:rPr>
              <w:rStyle w:val="a3"/>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AC5"/>
    <w:rsid w:val="00200AFE"/>
    <w:rsid w:val="005D5A23"/>
    <w:rsid w:val="007D5AC5"/>
    <w:rsid w:val="00D85A5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85A54"/>
    <w:rPr>
      <w:color w:val="808080"/>
    </w:rPr>
  </w:style>
  <w:style w:type="paragraph" w:customStyle="1" w:styleId="647C5F5A17CE48D5BFFBFC7D0687C4D8">
    <w:name w:val="647C5F5A17CE48D5BFFBFC7D0687C4D8"/>
    <w:rsid w:val="005D5A23"/>
    <w:pPr>
      <w:bidi/>
      <w:spacing w:after="0" w:line="240" w:lineRule="auto"/>
    </w:pPr>
    <w:rPr>
      <w:rFonts w:ascii="Times New Roman" w:eastAsia="Times New Roman" w:hAnsi="Times New Roman" w:cs="David"/>
      <w:sz w:val="24"/>
      <w:szCs w:val="24"/>
    </w:rPr>
  </w:style>
  <w:style w:type="paragraph" w:customStyle="1" w:styleId="647C5F5A17CE48D5BFFBFC7D0687C4D81">
    <w:name w:val="647C5F5A17CE48D5BFFBFC7D0687C4D81"/>
    <w:rsid w:val="005D5A23"/>
    <w:pPr>
      <w:bidi/>
      <w:spacing w:after="0" w:line="240" w:lineRule="auto"/>
    </w:pPr>
    <w:rPr>
      <w:rFonts w:ascii="Times New Roman" w:eastAsia="Times New Roman" w:hAnsi="Times New Roman" w:cs="David"/>
      <w:sz w:val="24"/>
      <w:szCs w:val="24"/>
    </w:rPr>
  </w:style>
  <w:style w:type="paragraph" w:customStyle="1" w:styleId="647C5F5A17CE48D5BFFBFC7D0687C4D82">
    <w:name w:val="647C5F5A17CE48D5BFFBFC7D0687C4D82"/>
    <w:rsid w:val="00200AFE"/>
    <w:pPr>
      <w:bidi/>
      <w:spacing w:after="0" w:line="240" w:lineRule="auto"/>
    </w:pPr>
    <w:rPr>
      <w:rFonts w:ascii="Times New Roman" w:eastAsia="Times New Roman" w:hAnsi="Times New Roman" w:cs="David"/>
      <w:sz w:val="24"/>
      <w:szCs w:val="24"/>
    </w:rPr>
  </w:style>
  <w:style w:type="paragraph" w:customStyle="1" w:styleId="647C5F5A17CE48D5BFFBFC7D0687C4D83">
    <w:name w:val="647C5F5A17CE48D5BFFBFC7D0687C4D83"/>
    <w:rsid w:val="00D85A54"/>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1382</Words>
  <Characters>6914</Characters>
  <Application>Microsoft Office Word</Application>
  <DocSecurity>4</DocSecurity>
  <Lines>57</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2024-12-26T12:46:00Z</dcterms:created>
  <dcterms:modified xsi:type="dcterms:W3CDTF">2024-12-26T12:46:00Z</dcterms:modified>
</cp:coreProperties>
</file>